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68B7F">
      <w:pPr>
        <w:jc w:val="center"/>
        <w:rPr>
          <w:rFonts w:hint="eastAsia" w:ascii="黑体" w:hAnsi="黑体" w:eastAsia="黑体" w:cs="黑体"/>
          <w:b/>
          <w:sz w:val="40"/>
          <w:szCs w:val="40"/>
        </w:rPr>
      </w:pPr>
      <w:r>
        <w:rPr>
          <w:rFonts w:hint="eastAsia" w:ascii="黑体" w:hAnsi="黑体" w:eastAsia="黑体" w:cs="黑体"/>
          <w:b/>
          <w:sz w:val="40"/>
          <w:szCs w:val="40"/>
        </w:rPr>
        <w:t>2024年度</w:t>
      </w:r>
      <w:r>
        <w:rPr>
          <w:rFonts w:hint="eastAsia" w:ascii="黑体" w:hAnsi="黑体" w:eastAsia="黑体" w:cs="黑体"/>
          <w:b/>
          <w:sz w:val="40"/>
          <w:szCs w:val="40"/>
          <w:lang w:val="en-US" w:eastAsia="zh-CN"/>
        </w:rPr>
        <w:t>实验室开</w:t>
      </w:r>
      <w:bookmarkStart w:id="0" w:name="_GoBack"/>
      <w:bookmarkEnd w:id="0"/>
      <w:r>
        <w:rPr>
          <w:rFonts w:hint="eastAsia" w:ascii="黑体" w:hAnsi="黑体" w:eastAsia="黑体" w:cs="黑体"/>
          <w:b/>
          <w:sz w:val="40"/>
          <w:szCs w:val="40"/>
          <w:lang w:val="en-US" w:eastAsia="zh-CN"/>
        </w:rPr>
        <w:t>放</w:t>
      </w:r>
      <w:r>
        <w:rPr>
          <w:rFonts w:hint="eastAsia" w:ascii="黑体" w:hAnsi="黑体" w:eastAsia="黑体" w:cs="黑体"/>
          <w:b/>
          <w:sz w:val="40"/>
          <w:szCs w:val="40"/>
        </w:rPr>
        <w:t>基金资助方向和选题范围</w:t>
      </w:r>
    </w:p>
    <w:p w14:paraId="6CC283B9">
      <w:pPr>
        <w:jc w:val="center"/>
        <w:rPr>
          <w:rFonts w:hint="eastAsia" w:ascii="黑体" w:hAnsi="黑体" w:eastAsia="黑体" w:cs="黑体"/>
          <w:b/>
          <w:sz w:val="40"/>
          <w:szCs w:val="40"/>
        </w:rPr>
      </w:pPr>
    </w:p>
    <w:p w14:paraId="64B28504">
      <w:pPr>
        <w:rPr>
          <w:rFonts w:ascii="仿宋" w:hAnsi="仿宋" w:eastAsia="仿宋"/>
          <w:b/>
          <w:sz w:val="32"/>
          <w:szCs w:val="32"/>
        </w:rPr>
      </w:pPr>
      <w:r>
        <w:rPr>
          <w:rFonts w:ascii="仿宋" w:hAnsi="仿宋" w:eastAsia="仿宋"/>
          <w:b/>
          <w:sz w:val="32"/>
          <w:szCs w:val="32"/>
        </w:rPr>
        <w:t>一</w:t>
      </w:r>
      <w:r>
        <w:rPr>
          <w:rFonts w:hint="eastAsia" w:ascii="仿宋" w:hAnsi="仿宋" w:eastAsia="仿宋"/>
          <w:b/>
          <w:sz w:val="32"/>
          <w:szCs w:val="32"/>
          <w:lang w:eastAsia="zh-CN"/>
        </w:rPr>
        <w:t>、</w:t>
      </w:r>
      <w:r>
        <w:rPr>
          <w:rFonts w:ascii="仿宋" w:hAnsi="仿宋" w:eastAsia="仿宋"/>
          <w:b/>
          <w:sz w:val="32"/>
          <w:szCs w:val="32"/>
        </w:rPr>
        <w:t>理论方法</w:t>
      </w:r>
    </w:p>
    <w:p w14:paraId="2FA5CA4A">
      <w:pPr>
        <w:ind w:firstLine="562" w:firstLineChars="200"/>
        <w:rPr>
          <w:rFonts w:ascii="仿宋" w:hAnsi="仿宋" w:eastAsia="仿宋"/>
          <w:b/>
          <w:sz w:val="28"/>
          <w:szCs w:val="32"/>
        </w:rPr>
      </w:pPr>
      <w:r>
        <w:rPr>
          <w:rFonts w:ascii="仿宋" w:hAnsi="仿宋" w:eastAsia="仿宋"/>
          <w:b/>
          <w:sz w:val="28"/>
          <w:szCs w:val="32"/>
        </w:rPr>
        <w:t>重点攻关方向</w:t>
      </w:r>
      <w:r>
        <w:rPr>
          <w:rFonts w:hint="eastAsia" w:ascii="仿宋" w:hAnsi="仿宋" w:eastAsia="仿宋"/>
          <w:b/>
          <w:sz w:val="28"/>
          <w:szCs w:val="32"/>
        </w:rPr>
        <w:t>1：缝洞型油藏缝洞介质等效渗透率预测方法</w:t>
      </w:r>
    </w:p>
    <w:p w14:paraId="064E3893">
      <w:pPr>
        <w:ind w:firstLine="562" w:firstLineChars="200"/>
        <w:rPr>
          <w:rFonts w:ascii="仿宋" w:hAnsi="仿宋" w:eastAsia="仿宋"/>
          <w:sz w:val="28"/>
          <w:szCs w:val="28"/>
        </w:rPr>
      </w:pPr>
      <w:r>
        <w:rPr>
          <w:rStyle w:val="6"/>
          <w:rFonts w:ascii="仿宋" w:hAnsi="仿宋" w:eastAsia="仿宋"/>
          <w:color w:val="7A4442"/>
          <w:sz w:val="28"/>
          <w:szCs w:val="28"/>
        </w:rPr>
        <w:t>设立</w:t>
      </w:r>
      <w:r>
        <w:rPr>
          <w:rStyle w:val="6"/>
          <w:rFonts w:hint="eastAsia" w:ascii="仿宋" w:hAnsi="仿宋" w:eastAsia="仿宋"/>
          <w:color w:val="7A4442"/>
          <w:sz w:val="28"/>
          <w:szCs w:val="28"/>
        </w:rPr>
        <w:t>背景</w:t>
      </w:r>
      <w:r>
        <w:rPr>
          <w:rStyle w:val="6"/>
          <w:rFonts w:ascii="仿宋" w:hAnsi="仿宋" w:eastAsia="仿宋"/>
          <w:color w:val="7A4442"/>
          <w:sz w:val="28"/>
          <w:szCs w:val="28"/>
        </w:rPr>
        <w:t>：</w:t>
      </w:r>
      <w:r>
        <w:rPr>
          <w:rFonts w:ascii="仿宋" w:hAnsi="仿宋" w:eastAsia="仿宋"/>
          <w:sz w:val="28"/>
          <w:szCs w:val="28"/>
        </w:rPr>
        <w:t>塔河油田碳酸盐岩岩溶储层单体洞穴和溶蚀孔洞规模小、远低于地震等常规探测手段的分辨率，加之储层段岩心收获率低，导致含小尺度孔缝洞预测难度大、难以准确测定不同尺度缝洞介质的关键物性参数，无法建立起目标靶区精准、可靠的地质模型和数值模拟模型，现场表现出油井测试产量差异大、高低产井分布极不均匀。如何精准预测不同尺度缝洞介质的等效渗透率成为制约井位部署、产能预测和地质建模-数模的瓶颈难题。</w:t>
      </w:r>
    </w:p>
    <w:p w14:paraId="01DD2205">
      <w:pPr>
        <w:ind w:firstLine="562" w:firstLineChars="200"/>
        <w:rPr>
          <w:rFonts w:ascii="仿宋" w:hAnsi="仿宋" w:eastAsia="仿宋"/>
          <w:sz w:val="28"/>
          <w:szCs w:val="28"/>
        </w:rPr>
      </w:pPr>
      <w:r>
        <w:rPr>
          <w:rStyle w:val="6"/>
          <w:rFonts w:ascii="仿宋" w:hAnsi="仿宋" w:eastAsia="仿宋"/>
          <w:color w:val="7A4442"/>
          <w:sz w:val="28"/>
          <w:szCs w:val="28"/>
        </w:rPr>
        <w:t>预期成果：</w:t>
      </w:r>
      <w:r>
        <w:rPr>
          <w:rFonts w:ascii="仿宋" w:hAnsi="仿宋" w:eastAsia="仿宋"/>
          <w:sz w:val="28"/>
          <w:szCs w:val="28"/>
        </w:rPr>
        <w:t>构建洞径、洞密、分布特征等不同尺度缝洞介质的特征模型；应用复模特数值模拟方法预测不同特征模型油井产量，建立基于流量等效原则计算不同尺度缝洞介质不同参数等效渗透率的方法；开发一套不同尺度缝洞介质等效渗透率机器学习预测算法及插件。。</w:t>
      </w:r>
    </w:p>
    <w:p w14:paraId="1B6EB94A">
      <w:pPr>
        <w:ind w:firstLine="562" w:firstLineChars="200"/>
        <w:rPr>
          <w:rFonts w:ascii="仿宋" w:hAnsi="仿宋" w:eastAsia="仿宋"/>
          <w:sz w:val="28"/>
          <w:szCs w:val="28"/>
        </w:rPr>
      </w:pPr>
      <w:r>
        <w:rPr>
          <w:rStyle w:val="6"/>
          <w:rFonts w:ascii="仿宋" w:hAnsi="仿宋" w:eastAsia="仿宋"/>
          <w:color w:val="7A4442"/>
          <w:sz w:val="28"/>
          <w:szCs w:val="28"/>
        </w:rPr>
        <w:t>考核指标：</w:t>
      </w:r>
      <w:r>
        <w:rPr>
          <w:rFonts w:hint="eastAsia" w:ascii="仿宋" w:hAnsi="仿宋" w:eastAsia="仿宋"/>
          <w:sz w:val="28"/>
          <w:szCs w:val="28"/>
        </w:rPr>
        <w:t>①</w:t>
      </w:r>
      <w:r>
        <w:rPr>
          <w:rFonts w:ascii="仿宋" w:hAnsi="仿宋" w:eastAsia="仿宋"/>
          <w:sz w:val="28"/>
          <w:szCs w:val="28"/>
        </w:rPr>
        <w:t>建立不同尺度缝洞介质渗透率机器学习预测算法1-2种；</w:t>
      </w:r>
      <w:r>
        <w:rPr>
          <w:rFonts w:hint="eastAsia" w:ascii="仿宋" w:hAnsi="仿宋" w:eastAsia="仿宋"/>
          <w:sz w:val="28"/>
          <w:szCs w:val="28"/>
        </w:rPr>
        <w:t>②</w:t>
      </w:r>
      <w:r>
        <w:rPr>
          <w:rFonts w:ascii="仿宋" w:hAnsi="仿宋" w:eastAsia="仿宋"/>
          <w:sz w:val="28"/>
          <w:szCs w:val="28"/>
        </w:rPr>
        <w:t>开发1款基于Petrel平台OCEAN框架的不同尺度缝洞介质渗透率预测插件；</w:t>
      </w:r>
      <w:r>
        <w:rPr>
          <w:rFonts w:hint="eastAsia" w:ascii="仿宋" w:hAnsi="仿宋" w:eastAsia="仿宋"/>
          <w:sz w:val="28"/>
          <w:szCs w:val="28"/>
        </w:rPr>
        <w:t>③联合撰写中文核心或SCI论文1篇</w:t>
      </w:r>
      <w:r>
        <w:rPr>
          <w:rFonts w:ascii="仿宋" w:hAnsi="仿宋" w:eastAsia="仿宋"/>
          <w:sz w:val="28"/>
          <w:szCs w:val="28"/>
        </w:rPr>
        <w:t>。</w:t>
      </w:r>
    </w:p>
    <w:p w14:paraId="01C70A74">
      <w:pPr>
        <w:ind w:firstLine="562" w:firstLineChars="200"/>
        <w:rPr>
          <w:rFonts w:ascii="仿宋" w:hAnsi="仿宋" w:eastAsia="仿宋"/>
          <w:b/>
          <w:sz w:val="28"/>
          <w:szCs w:val="32"/>
        </w:rPr>
      </w:pPr>
      <w:r>
        <w:rPr>
          <w:rFonts w:ascii="仿宋" w:hAnsi="仿宋" w:eastAsia="仿宋"/>
          <w:b/>
          <w:sz w:val="28"/>
          <w:szCs w:val="32"/>
        </w:rPr>
        <w:t>重点攻关方向2</w:t>
      </w:r>
      <w:r>
        <w:rPr>
          <w:rFonts w:hint="eastAsia" w:ascii="仿宋" w:hAnsi="仿宋" w:eastAsia="仿宋"/>
          <w:b/>
          <w:sz w:val="28"/>
          <w:szCs w:val="32"/>
        </w:rPr>
        <w:t>：基于构造应力约束的</w:t>
      </w:r>
      <w:r>
        <w:rPr>
          <w:rFonts w:ascii="仿宋" w:hAnsi="仿宋" w:eastAsia="仿宋"/>
          <w:b/>
          <w:sz w:val="28"/>
          <w:szCs w:val="32"/>
        </w:rPr>
        <w:t>OVT域地震数据反演与裂缝预测方法</w:t>
      </w:r>
    </w:p>
    <w:p w14:paraId="4BE8C1F5">
      <w:pPr>
        <w:ind w:firstLine="562" w:firstLineChars="200"/>
        <w:rPr>
          <w:rFonts w:ascii="仿宋" w:hAnsi="仿宋" w:eastAsia="仿宋"/>
          <w:b/>
          <w:sz w:val="28"/>
          <w:szCs w:val="28"/>
        </w:rPr>
      </w:pPr>
      <w:r>
        <w:rPr>
          <w:rStyle w:val="6"/>
          <w:rFonts w:ascii="仿宋" w:hAnsi="仿宋" w:eastAsia="仿宋"/>
          <w:color w:val="7A4442"/>
          <w:sz w:val="28"/>
          <w:szCs w:val="28"/>
        </w:rPr>
        <w:t>设立</w:t>
      </w:r>
      <w:r>
        <w:rPr>
          <w:rStyle w:val="6"/>
          <w:rFonts w:hint="eastAsia" w:ascii="仿宋" w:hAnsi="仿宋" w:eastAsia="仿宋"/>
          <w:color w:val="7A4442"/>
          <w:sz w:val="28"/>
          <w:szCs w:val="28"/>
        </w:rPr>
        <w:t>背景</w:t>
      </w:r>
      <w:r>
        <w:rPr>
          <w:rStyle w:val="6"/>
          <w:rFonts w:ascii="仿宋" w:hAnsi="仿宋" w:eastAsia="仿宋"/>
          <w:color w:val="7A4442"/>
          <w:sz w:val="28"/>
          <w:szCs w:val="28"/>
        </w:rPr>
        <w:t>：</w:t>
      </w:r>
      <w:r>
        <w:rPr>
          <w:rFonts w:hint="eastAsia" w:ascii="仿宋" w:hAnsi="仿宋" w:eastAsia="仿宋"/>
          <w:sz w:val="28"/>
          <w:szCs w:val="28"/>
        </w:rPr>
        <w:t>裂缝是重要的油气储集空间和运移通道，碳酸盐岩中的裂缝控制着溶孔和溶洞的形成和发育。准确预测天然裂缝的发育对提高缝洞储集体预测吻合率具有重要意义。基于叠后地震数据的不连续性属性预测的是大尺度裂缝，基于叠前分方位地震数据预测得到的是小尺度裂缝。相对于叠后地震数据，</w:t>
      </w:r>
      <w:r>
        <w:rPr>
          <w:rFonts w:ascii="仿宋" w:hAnsi="仿宋" w:eastAsia="仿宋"/>
          <w:sz w:val="28"/>
          <w:szCs w:val="28"/>
        </w:rPr>
        <w:t>OVT域叠前道集的信噪比较低，影响了AVAz（反射振幅随方位角变化）反演的准确性。</w:t>
      </w:r>
    </w:p>
    <w:p w14:paraId="3B65A83A">
      <w:pPr>
        <w:ind w:firstLine="562" w:firstLineChars="200"/>
        <w:rPr>
          <w:rFonts w:ascii="仿宋" w:hAnsi="仿宋" w:eastAsia="仿宋"/>
          <w:sz w:val="28"/>
          <w:szCs w:val="28"/>
        </w:rPr>
      </w:pPr>
      <w:r>
        <w:rPr>
          <w:rStyle w:val="6"/>
          <w:rFonts w:ascii="仿宋" w:hAnsi="仿宋" w:eastAsia="仿宋"/>
          <w:color w:val="7A4442"/>
          <w:sz w:val="28"/>
          <w:szCs w:val="28"/>
        </w:rPr>
        <w:t>预期成果：</w:t>
      </w:r>
      <w:r>
        <w:rPr>
          <w:rFonts w:ascii="仿宋" w:hAnsi="仿宋" w:eastAsia="仿宋"/>
          <w:sz w:val="28"/>
          <w:szCs w:val="28"/>
        </w:rPr>
        <w:t xml:space="preserve"> 基于叠后地震数据的水平构造应力差异比建立预测方法；建立基于构造应力约束的AVAz反演与裂缝预测方法研究。</w:t>
      </w:r>
    </w:p>
    <w:p w14:paraId="45F389D8">
      <w:pPr>
        <w:ind w:firstLine="562" w:firstLineChars="200"/>
        <w:rPr>
          <w:rFonts w:ascii="仿宋" w:hAnsi="仿宋" w:eastAsia="仿宋"/>
          <w:b/>
          <w:sz w:val="28"/>
          <w:szCs w:val="28"/>
          <w:highlight w:val="none"/>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w:t>
      </w:r>
      <w:r>
        <w:rPr>
          <w:rFonts w:ascii="仿宋" w:hAnsi="仿宋" w:eastAsia="仿宋"/>
          <w:sz w:val="28"/>
          <w:szCs w:val="28"/>
          <w:highlight w:val="none"/>
        </w:rPr>
        <w:t>初步形成基于构造应力约束的AVAz反演与裂缝预测方法；</w:t>
      </w:r>
      <w:r>
        <w:rPr>
          <w:rFonts w:hint="eastAsia" w:ascii="仿宋" w:hAnsi="仿宋" w:eastAsia="仿宋"/>
          <w:sz w:val="28"/>
          <w:szCs w:val="28"/>
          <w:highlight w:val="none"/>
        </w:rPr>
        <w:t>②</w:t>
      </w:r>
      <w:r>
        <w:rPr>
          <w:rFonts w:ascii="仿宋" w:hAnsi="仿宋" w:eastAsia="仿宋"/>
          <w:sz w:val="28"/>
          <w:szCs w:val="28"/>
          <w:highlight w:val="none"/>
        </w:rPr>
        <w:t>裂缝预测吻合率达到75%；</w:t>
      </w:r>
      <w:r>
        <w:rPr>
          <w:rFonts w:hint="eastAsia" w:ascii="仿宋" w:hAnsi="仿宋" w:eastAsia="仿宋"/>
          <w:sz w:val="28"/>
          <w:szCs w:val="28"/>
          <w:highlight w:val="none"/>
        </w:rPr>
        <w:t>③联合撰写中文核心或SCI论文1篇</w:t>
      </w:r>
      <w:r>
        <w:rPr>
          <w:rFonts w:ascii="仿宋" w:hAnsi="仿宋" w:eastAsia="仿宋"/>
          <w:sz w:val="28"/>
          <w:szCs w:val="28"/>
          <w:highlight w:val="none"/>
        </w:rPr>
        <w:t>。</w:t>
      </w:r>
    </w:p>
    <w:p w14:paraId="464AA8A0">
      <w:pPr>
        <w:ind w:firstLine="562" w:firstLineChars="200"/>
        <w:rPr>
          <w:rFonts w:hint="eastAsia" w:ascii="仿宋" w:hAnsi="仿宋" w:eastAsia="仿宋"/>
          <w:b/>
          <w:sz w:val="28"/>
          <w:szCs w:val="32"/>
          <w:highlight w:val="none"/>
        </w:rPr>
      </w:pPr>
      <w:r>
        <w:rPr>
          <w:rFonts w:ascii="仿宋" w:hAnsi="仿宋" w:eastAsia="仿宋"/>
          <w:b/>
          <w:sz w:val="28"/>
          <w:szCs w:val="32"/>
          <w:highlight w:val="none"/>
        </w:rPr>
        <w:t>重点攻关方向3</w:t>
      </w:r>
      <w:r>
        <w:rPr>
          <w:rFonts w:hint="eastAsia" w:ascii="仿宋" w:hAnsi="仿宋" w:eastAsia="仿宋"/>
          <w:b/>
          <w:sz w:val="28"/>
          <w:szCs w:val="32"/>
          <w:highlight w:val="none"/>
        </w:rPr>
        <w:t>：塔河超稠油沥青质沉淀和析出模拟实验方法</w:t>
      </w:r>
    </w:p>
    <w:p w14:paraId="6F2BADE0">
      <w:pPr>
        <w:ind w:firstLine="562" w:firstLineChars="200"/>
        <w:rPr>
          <w:rFonts w:hint="eastAsia" w:ascii="仿宋" w:hAnsi="仿宋" w:eastAsia="仿宋"/>
          <w:b/>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hint="eastAsia" w:ascii="仿宋" w:hAnsi="仿宋" w:eastAsia="仿宋"/>
          <w:sz w:val="28"/>
          <w:szCs w:val="28"/>
          <w:highlight w:val="none"/>
        </w:rPr>
        <w:t>高沥青质含量使得塔河超稠油在井筒中流动困难，目前主要采用掺稀降粘开采，导致开发效益降低。同时沥青质聚集、沉淀和析出导致稠油开采流动过程中井筒不稳定，影响生产时效。因此，需要针对塔河沥青质成藏原因、特征和开采中析出影响因素实验，厘清沥青质的沉淀机理和条件，为稠油开发过程中预防措施提供技术支撑。</w:t>
      </w:r>
    </w:p>
    <w:p w14:paraId="103172AF">
      <w:pPr>
        <w:ind w:firstLine="562" w:firstLineChars="200"/>
        <w:rPr>
          <w:rFonts w:hint="eastAsia" w:ascii="仿宋" w:hAnsi="仿宋" w:eastAsia="仿宋"/>
          <w:sz w:val="28"/>
          <w:szCs w:val="28"/>
          <w:highlight w:val="none"/>
        </w:rPr>
      </w:pPr>
      <w:r>
        <w:rPr>
          <w:rStyle w:val="6"/>
          <w:rFonts w:ascii="仿宋" w:hAnsi="仿宋" w:eastAsia="仿宋"/>
          <w:color w:val="7A4442"/>
          <w:sz w:val="28"/>
          <w:szCs w:val="28"/>
          <w:highlight w:val="none"/>
        </w:rPr>
        <w:t>预期成果：</w:t>
      </w:r>
      <w:r>
        <w:rPr>
          <w:rFonts w:ascii="仿宋" w:hAnsi="仿宋" w:eastAsia="仿宋"/>
          <w:sz w:val="28"/>
          <w:szCs w:val="28"/>
          <w:highlight w:val="none"/>
        </w:rPr>
        <w:t xml:space="preserve"> </w:t>
      </w:r>
      <w:r>
        <w:rPr>
          <w:rFonts w:hint="eastAsia" w:ascii="仿宋" w:hAnsi="仿宋" w:eastAsia="仿宋"/>
          <w:sz w:val="28"/>
          <w:szCs w:val="28"/>
          <w:highlight w:val="none"/>
        </w:rPr>
        <w:t>完成</w:t>
      </w:r>
      <w:r>
        <w:rPr>
          <w:rFonts w:ascii="仿宋" w:hAnsi="仿宋" w:eastAsia="仿宋"/>
          <w:sz w:val="28"/>
          <w:szCs w:val="28"/>
          <w:highlight w:val="none"/>
        </w:rPr>
        <w:t>国内外沥青质沉淀及析出实验研究技术调研与分析；明确塔河高沥青质超稠油的成因及生、运、聚过程</w:t>
      </w:r>
      <w:r>
        <w:rPr>
          <w:rFonts w:hint="eastAsia" w:ascii="仿宋" w:hAnsi="仿宋" w:eastAsia="仿宋"/>
          <w:sz w:val="28"/>
          <w:szCs w:val="28"/>
          <w:highlight w:val="none"/>
        </w:rPr>
        <w:t>认识</w:t>
      </w:r>
      <w:r>
        <w:rPr>
          <w:rFonts w:ascii="仿宋" w:hAnsi="仿宋" w:eastAsia="仿宋"/>
          <w:sz w:val="28"/>
          <w:szCs w:val="28"/>
          <w:highlight w:val="none"/>
        </w:rPr>
        <w:t>；建立一套塔河超稠油开采过程中沥青质的沉淀和析出实验方法及装置设计；明确沥青质沉淀机理及析出条件研究。</w:t>
      </w:r>
    </w:p>
    <w:p w14:paraId="1654D071">
      <w:pPr>
        <w:ind w:firstLine="562" w:firstLineChars="200"/>
        <w:rPr>
          <w:rFonts w:hint="eastAsia" w:ascii="仿宋" w:hAnsi="仿宋" w:eastAsia="仿宋"/>
          <w:b/>
          <w:sz w:val="28"/>
          <w:szCs w:val="28"/>
          <w:highlight w:val="none"/>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w:t>
      </w:r>
      <w:r>
        <w:rPr>
          <w:rFonts w:ascii="仿宋" w:hAnsi="仿宋" w:eastAsia="仿宋"/>
          <w:sz w:val="28"/>
          <w:szCs w:val="28"/>
          <w:highlight w:val="none"/>
        </w:rPr>
        <w:t>形成高温高压条件下超稠油沥青质沉淀和析出的实验技术方法；</w:t>
      </w:r>
      <w:r>
        <w:rPr>
          <w:rFonts w:hint="eastAsia" w:ascii="仿宋" w:hAnsi="仿宋" w:eastAsia="仿宋"/>
          <w:sz w:val="28"/>
          <w:szCs w:val="28"/>
          <w:highlight w:val="none"/>
        </w:rPr>
        <w:t>②</w:t>
      </w:r>
      <w:r>
        <w:rPr>
          <w:rFonts w:ascii="仿宋" w:hAnsi="仿宋" w:eastAsia="仿宋"/>
          <w:sz w:val="28"/>
          <w:szCs w:val="28"/>
          <w:highlight w:val="none"/>
        </w:rPr>
        <w:t>.明确塔河稠油流动过程中沥青质沉淀和析出的条件和原因；</w:t>
      </w:r>
      <w:r>
        <w:rPr>
          <w:rFonts w:hint="eastAsia" w:ascii="仿宋" w:hAnsi="仿宋" w:eastAsia="仿宋"/>
          <w:sz w:val="28"/>
          <w:szCs w:val="28"/>
          <w:highlight w:val="none"/>
        </w:rPr>
        <w:t>③</w:t>
      </w:r>
      <w:r>
        <w:rPr>
          <w:rFonts w:ascii="仿宋" w:hAnsi="仿宋" w:eastAsia="仿宋"/>
          <w:sz w:val="28"/>
          <w:szCs w:val="28"/>
          <w:highlight w:val="none"/>
        </w:rPr>
        <w:t>提出1-2种沥青质沉淀与析出预防技术方法；</w:t>
      </w:r>
      <w:r>
        <w:rPr>
          <w:rFonts w:hint="eastAsia" w:ascii="仿宋" w:hAnsi="仿宋" w:eastAsia="仿宋"/>
          <w:sz w:val="28"/>
          <w:szCs w:val="28"/>
          <w:highlight w:val="none"/>
        </w:rPr>
        <w:t>④</w:t>
      </w:r>
      <w:r>
        <w:rPr>
          <w:rFonts w:ascii="仿宋" w:hAnsi="仿宋" w:eastAsia="仿宋"/>
          <w:sz w:val="28"/>
          <w:szCs w:val="28"/>
          <w:highlight w:val="none"/>
        </w:rPr>
        <w:t>提交发明专利1项。</w:t>
      </w:r>
    </w:p>
    <w:p w14:paraId="1C2ABE54">
      <w:pPr>
        <w:ind w:firstLine="562" w:firstLineChars="200"/>
        <w:rPr>
          <w:rFonts w:hint="eastAsia" w:ascii="仿宋" w:hAnsi="仿宋" w:eastAsia="仿宋"/>
          <w:b/>
          <w:sz w:val="28"/>
          <w:szCs w:val="32"/>
          <w:highlight w:val="none"/>
        </w:rPr>
      </w:pPr>
      <w:r>
        <w:rPr>
          <w:rFonts w:ascii="仿宋" w:hAnsi="仿宋" w:eastAsia="仿宋"/>
          <w:b/>
          <w:sz w:val="28"/>
          <w:szCs w:val="32"/>
          <w:highlight w:val="none"/>
        </w:rPr>
        <w:t>重点攻关方向4</w:t>
      </w:r>
      <w:r>
        <w:rPr>
          <w:rFonts w:hint="eastAsia" w:ascii="仿宋" w:hAnsi="仿宋" w:eastAsia="仿宋"/>
          <w:b/>
          <w:sz w:val="28"/>
          <w:szCs w:val="32"/>
          <w:highlight w:val="none"/>
        </w:rPr>
        <w:t>：高温高压缝洞型油藏流体重力分异界限模拟装置构建及实验研究</w:t>
      </w:r>
    </w:p>
    <w:p w14:paraId="52B4B125">
      <w:pPr>
        <w:ind w:firstLine="562" w:firstLineChars="200"/>
        <w:rPr>
          <w:rFonts w:hint="eastAsia" w:ascii="仿宋" w:hAnsi="仿宋" w:eastAsia="仿宋"/>
          <w:b/>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hint="eastAsia" w:ascii="仿宋" w:hAnsi="仿宋" w:eastAsia="仿宋"/>
          <w:sz w:val="28"/>
          <w:szCs w:val="28"/>
          <w:highlight w:val="none"/>
        </w:rPr>
        <w:t>缝洞型油藏储层尺度大，重力分异作用强于毛管力作用，前期在常温常压下通过玻璃管初步明确了</w:t>
      </w:r>
      <w:r>
        <w:rPr>
          <w:rFonts w:ascii="仿宋" w:hAnsi="仿宋" w:eastAsia="仿宋"/>
          <w:sz w:val="28"/>
          <w:szCs w:val="28"/>
          <w:highlight w:val="none"/>
        </w:rPr>
        <w:t>2mm是原油重力分异尺度的下限，但是原油、水等地层流体在高温高压油藏条件下性质与常温常压下存在显著的不同，因此在开展高温高压物理模拟实验过程中，需要明确不同流体在高温高压下的重力分异尺度界限，为缝洞流动模拟实验中的储层结构模型构建提供技术支撑。</w:t>
      </w:r>
    </w:p>
    <w:p w14:paraId="631CA719">
      <w:pPr>
        <w:ind w:firstLine="562" w:firstLineChars="200"/>
        <w:rPr>
          <w:rFonts w:hint="eastAsia" w:ascii="仿宋" w:hAnsi="仿宋" w:eastAsia="仿宋"/>
          <w:sz w:val="28"/>
          <w:szCs w:val="28"/>
          <w:highlight w:val="none"/>
        </w:rPr>
      </w:pPr>
      <w:r>
        <w:rPr>
          <w:rStyle w:val="6"/>
          <w:rFonts w:ascii="仿宋" w:hAnsi="仿宋" w:eastAsia="仿宋"/>
          <w:color w:val="7A4442"/>
          <w:sz w:val="28"/>
          <w:szCs w:val="28"/>
          <w:highlight w:val="none"/>
        </w:rPr>
        <w:t>预期成果：</w:t>
      </w:r>
      <w:r>
        <w:rPr>
          <w:rFonts w:ascii="仿宋" w:hAnsi="仿宋" w:eastAsia="仿宋"/>
          <w:sz w:val="28"/>
          <w:szCs w:val="28"/>
          <w:highlight w:val="none"/>
        </w:rPr>
        <w:t>基于高温高压可视化建立重力分异测试实验装置；建立原油高温高压重力分异界限测试方法</w:t>
      </w:r>
      <w:r>
        <w:rPr>
          <w:rFonts w:hint="eastAsia" w:ascii="仿宋" w:hAnsi="仿宋" w:eastAsia="仿宋"/>
          <w:sz w:val="28"/>
          <w:szCs w:val="28"/>
          <w:highlight w:val="none"/>
        </w:rPr>
        <w:t>，</w:t>
      </w:r>
      <w:r>
        <w:rPr>
          <w:rFonts w:ascii="仿宋" w:hAnsi="仿宋" w:eastAsia="仿宋"/>
          <w:sz w:val="28"/>
          <w:szCs w:val="28"/>
          <w:highlight w:val="none"/>
        </w:rPr>
        <w:t>明确不可忽略毛管力裂缝尺度界限、可忽略毛管力管流及与空腔流界限。</w:t>
      </w:r>
    </w:p>
    <w:p w14:paraId="5D2E267F">
      <w:pPr>
        <w:ind w:firstLine="562" w:firstLineChars="200"/>
        <w:rPr>
          <w:rFonts w:hint="eastAsia" w:ascii="仿宋" w:hAnsi="仿宋" w:eastAsia="仿宋"/>
          <w:b/>
          <w:sz w:val="28"/>
          <w:szCs w:val="28"/>
          <w:highlight w:val="none"/>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w:t>
      </w:r>
      <w:r>
        <w:rPr>
          <w:rFonts w:ascii="仿宋" w:hAnsi="仿宋" w:eastAsia="仿宋"/>
          <w:sz w:val="28"/>
          <w:szCs w:val="28"/>
          <w:highlight w:val="none"/>
        </w:rPr>
        <w:t>建立一套高温高压可视化重力分异实验装置；</w:t>
      </w:r>
      <w:r>
        <w:rPr>
          <w:rFonts w:hint="eastAsia" w:ascii="仿宋" w:hAnsi="仿宋" w:eastAsia="仿宋"/>
          <w:sz w:val="28"/>
          <w:szCs w:val="28"/>
          <w:highlight w:val="none"/>
        </w:rPr>
        <w:t>②</w:t>
      </w:r>
      <w:r>
        <w:rPr>
          <w:rFonts w:ascii="仿宋" w:hAnsi="仿宋" w:eastAsia="仿宋"/>
          <w:sz w:val="28"/>
          <w:szCs w:val="28"/>
          <w:highlight w:val="none"/>
        </w:rPr>
        <w:t>建立原油重力分异界限的实验测试方法；</w:t>
      </w:r>
      <w:r>
        <w:rPr>
          <w:rFonts w:hint="eastAsia" w:ascii="仿宋" w:hAnsi="仿宋" w:eastAsia="仿宋"/>
          <w:sz w:val="28"/>
          <w:szCs w:val="28"/>
          <w:highlight w:val="none"/>
        </w:rPr>
        <w:t>③</w:t>
      </w:r>
      <w:r>
        <w:rPr>
          <w:rFonts w:ascii="仿宋" w:hAnsi="仿宋" w:eastAsia="仿宋"/>
          <w:sz w:val="28"/>
          <w:szCs w:val="28"/>
          <w:highlight w:val="none"/>
        </w:rPr>
        <w:t>明确塔河不同区块原油重力分异尺度界限；</w:t>
      </w:r>
      <w:r>
        <w:rPr>
          <w:rFonts w:hint="eastAsia" w:ascii="仿宋" w:hAnsi="仿宋" w:eastAsia="仿宋"/>
          <w:sz w:val="28"/>
          <w:szCs w:val="28"/>
          <w:highlight w:val="none"/>
        </w:rPr>
        <w:t>④</w:t>
      </w:r>
      <w:r>
        <w:rPr>
          <w:rFonts w:ascii="仿宋" w:hAnsi="仿宋" w:eastAsia="仿宋"/>
          <w:sz w:val="28"/>
          <w:szCs w:val="28"/>
          <w:highlight w:val="none"/>
        </w:rPr>
        <w:t>提交发明专利1项</w:t>
      </w:r>
    </w:p>
    <w:p w14:paraId="74040E10">
      <w:pPr>
        <w:ind w:firstLine="562" w:firstLineChars="200"/>
        <w:rPr>
          <w:rFonts w:hint="eastAsia" w:ascii="仿宋" w:hAnsi="仿宋" w:eastAsia="仿宋"/>
          <w:b/>
          <w:sz w:val="28"/>
          <w:szCs w:val="32"/>
          <w:highlight w:val="none"/>
        </w:rPr>
      </w:pPr>
      <w:r>
        <w:rPr>
          <w:rFonts w:ascii="仿宋" w:hAnsi="仿宋" w:eastAsia="仿宋"/>
          <w:b/>
          <w:sz w:val="28"/>
          <w:szCs w:val="32"/>
          <w:highlight w:val="none"/>
        </w:rPr>
        <w:t>重点攻关方向5</w:t>
      </w:r>
      <w:r>
        <w:rPr>
          <w:rFonts w:hint="eastAsia" w:ascii="仿宋" w:hAnsi="仿宋" w:eastAsia="仿宋"/>
          <w:b/>
          <w:sz w:val="28"/>
          <w:szCs w:val="32"/>
          <w:highlight w:val="none"/>
        </w:rPr>
        <w:t>：注氮气原油粘度变化规律测试装置构建及实验方法</w:t>
      </w:r>
    </w:p>
    <w:p w14:paraId="07E215AA">
      <w:pPr>
        <w:ind w:firstLine="562" w:firstLineChars="200"/>
        <w:rPr>
          <w:rFonts w:hint="eastAsia" w:ascii="仿宋" w:hAnsi="仿宋" w:eastAsia="仿宋"/>
          <w:b/>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hint="eastAsia" w:ascii="仿宋" w:hAnsi="仿宋" w:eastAsia="仿宋"/>
          <w:sz w:val="28"/>
          <w:szCs w:val="28"/>
          <w:highlight w:val="none"/>
        </w:rPr>
        <w:t>塔河油田缝洞型油藏</w:t>
      </w:r>
      <w:r>
        <w:rPr>
          <w:rFonts w:ascii="仿宋" w:hAnsi="仿宋" w:eastAsia="仿宋"/>
          <w:sz w:val="28"/>
          <w:szCs w:val="28"/>
          <w:highlight w:val="none"/>
        </w:rPr>
        <w:t>68%的注氮气单井和井组已进入多轮次驱替阶段，由于氮气对原油的抽提萃取作用，导致多轮次注气井产出原油粘度上升，对注气井生产带来较大困难，急需设计一种多轮次注气原油粘度及组份检测实验方法，并开展不同原油多轮次注气后粘度变化规律实验，为不同开发区块合理注气轮次设计、生产防堵塞预防提供实验支撑。</w:t>
      </w:r>
    </w:p>
    <w:p w14:paraId="3B8038DA">
      <w:pPr>
        <w:ind w:firstLine="562" w:firstLineChars="200"/>
        <w:rPr>
          <w:rFonts w:hint="eastAsia" w:ascii="仿宋" w:hAnsi="仿宋" w:eastAsia="仿宋"/>
          <w:sz w:val="28"/>
          <w:szCs w:val="28"/>
          <w:highlight w:val="none"/>
        </w:rPr>
      </w:pPr>
      <w:r>
        <w:rPr>
          <w:rStyle w:val="6"/>
          <w:rFonts w:ascii="仿宋" w:hAnsi="仿宋" w:eastAsia="仿宋"/>
          <w:color w:val="7A4442"/>
          <w:sz w:val="28"/>
          <w:szCs w:val="28"/>
          <w:highlight w:val="none"/>
        </w:rPr>
        <w:t>预期成果：</w:t>
      </w:r>
      <w:r>
        <w:rPr>
          <w:rFonts w:ascii="仿宋" w:hAnsi="仿宋" w:eastAsia="仿宋"/>
          <w:sz w:val="28"/>
          <w:szCs w:val="28"/>
          <w:highlight w:val="none"/>
        </w:rPr>
        <w:t>研发高温高压注氮气井原油粘度变化实验装置；完成塔河不同区块原油注氮气后组分特征及物理性质（密度、粘度）变化实验测试；明确塔河不同区块原油多轮次注氮气后原油粘度变化规律。</w:t>
      </w:r>
    </w:p>
    <w:p w14:paraId="0BA086BA">
      <w:pPr>
        <w:ind w:firstLine="562" w:firstLineChars="200"/>
        <w:rPr>
          <w:rFonts w:hint="eastAsia" w:ascii="仿宋" w:hAnsi="仿宋" w:eastAsia="仿宋"/>
          <w:sz w:val="28"/>
          <w:szCs w:val="28"/>
          <w:highlight w:val="none"/>
          <w:lang w:eastAsia="zh-CN"/>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w:t>
      </w:r>
      <w:r>
        <w:rPr>
          <w:rFonts w:ascii="仿宋" w:hAnsi="仿宋" w:eastAsia="仿宋"/>
          <w:sz w:val="28"/>
          <w:szCs w:val="28"/>
          <w:highlight w:val="none"/>
        </w:rPr>
        <w:t>建立一种原油多次接触注气粘度变化规律实验方法与装置；</w:t>
      </w:r>
      <w:r>
        <w:rPr>
          <w:rFonts w:hint="eastAsia" w:ascii="仿宋" w:hAnsi="仿宋" w:eastAsia="仿宋"/>
          <w:sz w:val="28"/>
          <w:szCs w:val="28"/>
          <w:highlight w:val="none"/>
        </w:rPr>
        <w:t>②</w:t>
      </w:r>
      <w:r>
        <w:rPr>
          <w:rFonts w:ascii="仿宋" w:hAnsi="仿宋" w:eastAsia="仿宋"/>
          <w:sz w:val="28"/>
          <w:szCs w:val="28"/>
          <w:highlight w:val="none"/>
        </w:rPr>
        <w:t>建立塔河不同区块原油注氮气多次接触后粘度变化特征曲线；</w:t>
      </w:r>
      <w:r>
        <w:rPr>
          <w:rFonts w:hint="eastAsia" w:ascii="仿宋" w:hAnsi="仿宋" w:eastAsia="仿宋"/>
          <w:sz w:val="28"/>
          <w:szCs w:val="28"/>
          <w:highlight w:val="none"/>
        </w:rPr>
        <w:t>③联合撰写中文核心或SCI论文1篇</w:t>
      </w:r>
      <w:r>
        <w:rPr>
          <w:rFonts w:hint="eastAsia" w:ascii="仿宋" w:hAnsi="仿宋" w:eastAsia="仿宋"/>
          <w:sz w:val="28"/>
          <w:szCs w:val="28"/>
          <w:highlight w:val="none"/>
          <w:lang w:eastAsia="zh-CN"/>
        </w:rPr>
        <w:t>。</w:t>
      </w:r>
    </w:p>
    <w:p w14:paraId="4227E6C9">
      <w:pPr>
        <w:ind w:firstLine="562" w:firstLineChars="200"/>
        <w:rPr>
          <w:rFonts w:hint="eastAsia" w:ascii="仿宋" w:hAnsi="仿宋" w:eastAsia="仿宋"/>
          <w:b/>
          <w:sz w:val="28"/>
          <w:szCs w:val="32"/>
          <w:highlight w:val="none"/>
          <w:lang w:val="en-US" w:eastAsia="zh-CN"/>
        </w:rPr>
      </w:pPr>
      <w:r>
        <w:rPr>
          <w:rFonts w:ascii="仿宋" w:hAnsi="仿宋" w:eastAsia="仿宋"/>
          <w:b/>
          <w:sz w:val="28"/>
          <w:szCs w:val="32"/>
          <w:highlight w:val="none"/>
        </w:rPr>
        <w:t>重点攻关方向6</w:t>
      </w:r>
      <w:r>
        <w:rPr>
          <w:rFonts w:hint="eastAsia" w:ascii="仿宋" w:hAnsi="仿宋" w:eastAsia="仿宋"/>
          <w:b/>
          <w:sz w:val="28"/>
          <w:szCs w:val="32"/>
          <w:highlight w:val="none"/>
        </w:rPr>
        <w:t>：原油组分对稠油乳化能力影响规律</w:t>
      </w:r>
    </w:p>
    <w:p w14:paraId="0FCD87D6">
      <w:pPr>
        <w:ind w:firstLine="562" w:firstLineChars="200"/>
        <w:rPr>
          <w:rFonts w:ascii="仿宋" w:hAnsi="仿宋" w:eastAsia="仿宋"/>
          <w:b/>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hint="eastAsia" w:ascii="仿宋" w:hAnsi="仿宋" w:eastAsia="仿宋"/>
          <w:sz w:val="28"/>
          <w:szCs w:val="28"/>
          <w:highlight w:val="none"/>
        </w:rPr>
        <w:t>塔河油田开采后期原油含水越来越高，不同区块原油混合后由于原油组分变化引起稠油乳化能力发生变化，形成稳定稠油乳状液，给现场原油处理带来影响。比如于奇稠油与塔河中质油混合会形成难以破乳的油包水乳状液。需要通过实验研究明确原油组分变化（主要是胶质、沥青质和蜡）对稠油乳化能力的影响规律和原油乳状液稳定机理进行研究，为稠油处理提供技术支撑。</w:t>
      </w:r>
    </w:p>
    <w:p w14:paraId="5AE0D5E9">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预期成果：</w:t>
      </w:r>
      <w:r>
        <w:rPr>
          <w:rFonts w:ascii="仿宋" w:hAnsi="仿宋" w:eastAsia="仿宋"/>
          <w:sz w:val="28"/>
          <w:szCs w:val="28"/>
          <w:highlight w:val="none"/>
        </w:rPr>
        <w:t>明确原油组分（胶质、沥青质、蜡）对稠油乳化能力的影响规律</w:t>
      </w:r>
      <w:r>
        <w:rPr>
          <w:rFonts w:hint="eastAsia" w:ascii="仿宋" w:hAnsi="仿宋" w:eastAsia="仿宋"/>
          <w:sz w:val="28"/>
          <w:szCs w:val="28"/>
          <w:highlight w:val="none"/>
        </w:rPr>
        <w:t>；</w:t>
      </w:r>
      <w:r>
        <w:rPr>
          <w:rFonts w:ascii="仿宋" w:hAnsi="仿宋" w:eastAsia="仿宋"/>
          <w:sz w:val="28"/>
          <w:szCs w:val="28"/>
          <w:highlight w:val="none"/>
        </w:rPr>
        <w:t>明确原油组分（胶质、沥青质、蜡）对油包水乳状液稳定性影响机理。</w:t>
      </w:r>
    </w:p>
    <w:p w14:paraId="7E7B3C2F">
      <w:pPr>
        <w:ind w:firstLine="562" w:firstLineChars="200"/>
        <w:rPr>
          <w:rFonts w:ascii="仿宋" w:hAnsi="仿宋" w:eastAsia="仿宋"/>
          <w:b/>
          <w:sz w:val="28"/>
          <w:szCs w:val="28"/>
          <w:highlight w:val="none"/>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①提交</w:t>
      </w:r>
      <w:r>
        <w:rPr>
          <w:rFonts w:ascii="仿宋" w:hAnsi="仿宋" w:eastAsia="仿宋"/>
          <w:sz w:val="28"/>
          <w:szCs w:val="28"/>
          <w:highlight w:val="none"/>
        </w:rPr>
        <w:t>塔河于奇区块稠油组分对混合稠油乳化能力影响的主导因素和规律分析报告；</w:t>
      </w:r>
      <w:r>
        <w:rPr>
          <w:rFonts w:hint="eastAsia" w:ascii="仿宋" w:hAnsi="仿宋" w:eastAsia="仿宋"/>
          <w:sz w:val="28"/>
          <w:szCs w:val="28"/>
          <w:highlight w:val="none"/>
        </w:rPr>
        <w:t>②</w:t>
      </w:r>
      <w:r>
        <w:rPr>
          <w:rFonts w:ascii="仿宋" w:hAnsi="仿宋" w:eastAsia="仿宋"/>
          <w:sz w:val="28"/>
          <w:szCs w:val="28"/>
          <w:highlight w:val="none"/>
        </w:rPr>
        <w:t>建立塔河于奇区块稠油和塔河中质油混合比例与油包水乳状液稳定性的关系图版；</w:t>
      </w:r>
      <w:r>
        <w:rPr>
          <w:rFonts w:hint="eastAsia" w:ascii="仿宋" w:hAnsi="仿宋" w:eastAsia="仿宋"/>
          <w:sz w:val="28"/>
          <w:szCs w:val="28"/>
          <w:highlight w:val="none"/>
        </w:rPr>
        <w:t>③</w:t>
      </w:r>
      <w:r>
        <w:rPr>
          <w:rFonts w:ascii="仿宋" w:hAnsi="仿宋" w:eastAsia="仿宋"/>
          <w:sz w:val="28"/>
          <w:szCs w:val="28"/>
          <w:highlight w:val="none"/>
        </w:rPr>
        <w:t>提交中文核心</w:t>
      </w:r>
      <w:r>
        <w:rPr>
          <w:rFonts w:hint="eastAsia" w:ascii="仿宋" w:hAnsi="仿宋" w:eastAsia="仿宋"/>
          <w:sz w:val="28"/>
          <w:szCs w:val="28"/>
          <w:highlight w:val="none"/>
        </w:rPr>
        <w:t>及以上</w:t>
      </w:r>
      <w:r>
        <w:rPr>
          <w:rFonts w:ascii="仿宋" w:hAnsi="仿宋" w:eastAsia="仿宋"/>
          <w:sz w:val="28"/>
          <w:szCs w:val="28"/>
          <w:highlight w:val="none"/>
        </w:rPr>
        <w:t>科技论文1篇</w:t>
      </w:r>
    </w:p>
    <w:p w14:paraId="58C0D088">
      <w:pPr>
        <w:rPr>
          <w:rFonts w:ascii="仿宋" w:hAnsi="仿宋" w:eastAsia="仿宋"/>
          <w:b/>
          <w:sz w:val="32"/>
          <w:szCs w:val="32"/>
          <w:highlight w:val="none"/>
        </w:rPr>
      </w:pPr>
      <w:r>
        <w:rPr>
          <w:rFonts w:ascii="仿宋" w:hAnsi="仿宋" w:eastAsia="仿宋"/>
          <w:b/>
          <w:sz w:val="32"/>
          <w:szCs w:val="32"/>
          <w:highlight w:val="none"/>
        </w:rPr>
        <w:t>二</w:t>
      </w:r>
      <w:r>
        <w:rPr>
          <w:rFonts w:hint="eastAsia" w:ascii="仿宋" w:hAnsi="仿宋" w:eastAsia="仿宋"/>
          <w:b/>
          <w:sz w:val="32"/>
          <w:szCs w:val="32"/>
          <w:highlight w:val="none"/>
          <w:lang w:eastAsia="zh-CN"/>
        </w:rPr>
        <w:t>、</w:t>
      </w:r>
      <w:r>
        <w:rPr>
          <w:rFonts w:ascii="仿宋" w:hAnsi="仿宋" w:eastAsia="仿宋"/>
          <w:b/>
          <w:sz w:val="32"/>
          <w:szCs w:val="32"/>
          <w:highlight w:val="none"/>
        </w:rPr>
        <w:t>工程工艺</w:t>
      </w:r>
    </w:p>
    <w:p w14:paraId="780CDC2D">
      <w:pPr>
        <w:ind w:firstLine="562" w:firstLineChars="200"/>
        <w:rPr>
          <w:rFonts w:ascii="仿宋" w:hAnsi="仿宋" w:eastAsia="仿宋"/>
          <w:b/>
          <w:sz w:val="28"/>
          <w:szCs w:val="32"/>
          <w:highlight w:val="none"/>
        </w:rPr>
      </w:pPr>
      <w:r>
        <w:rPr>
          <w:rFonts w:ascii="仿宋" w:hAnsi="仿宋" w:eastAsia="仿宋"/>
          <w:b/>
          <w:sz w:val="28"/>
          <w:szCs w:val="32"/>
          <w:highlight w:val="none"/>
        </w:rPr>
        <w:t>重点攻关方向1</w:t>
      </w:r>
      <w:r>
        <w:rPr>
          <w:rFonts w:hint="eastAsia" w:ascii="仿宋" w:hAnsi="仿宋" w:eastAsia="仿宋"/>
          <w:b/>
          <w:sz w:val="28"/>
          <w:szCs w:val="32"/>
          <w:highlight w:val="none"/>
        </w:rPr>
        <w:t>：缝洞型油藏注</w:t>
      </w:r>
      <w:r>
        <w:rPr>
          <w:rFonts w:ascii="仿宋" w:hAnsi="仿宋" w:eastAsia="仿宋"/>
          <w:b/>
          <w:sz w:val="28"/>
          <w:szCs w:val="32"/>
          <w:highlight w:val="none"/>
        </w:rPr>
        <w:t>CO</w:t>
      </w:r>
      <w:r>
        <w:rPr>
          <w:rFonts w:ascii="仿宋" w:hAnsi="仿宋" w:eastAsia="仿宋"/>
          <w:b/>
          <w:sz w:val="28"/>
          <w:szCs w:val="32"/>
          <w:highlight w:val="none"/>
          <w:vertAlign w:val="subscript"/>
        </w:rPr>
        <w:t>2</w:t>
      </w:r>
      <w:r>
        <w:rPr>
          <w:rFonts w:hint="eastAsia" w:ascii="仿宋" w:hAnsi="仿宋" w:eastAsia="仿宋"/>
          <w:b/>
          <w:sz w:val="28"/>
          <w:szCs w:val="32"/>
          <w:highlight w:val="none"/>
        </w:rPr>
        <w:t>和增粘水协同增效机理</w:t>
      </w:r>
    </w:p>
    <w:p w14:paraId="2067A455">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hint="eastAsia" w:ascii="仿宋" w:hAnsi="仿宋" w:eastAsia="仿宋"/>
          <w:sz w:val="28"/>
          <w:szCs w:val="28"/>
          <w:highlight w:val="none"/>
        </w:rPr>
        <w:t>注氮气作为缝洞型油藏注水后重要接替技术，年增油超</w:t>
      </w:r>
      <w:r>
        <w:rPr>
          <w:rFonts w:ascii="仿宋" w:hAnsi="仿宋" w:eastAsia="仿宋"/>
          <w:sz w:val="28"/>
          <w:szCs w:val="28"/>
          <w:highlight w:val="none"/>
        </w:rPr>
        <w:t>80万吨，正从单井替油阶段转向单元驱油阶段</w:t>
      </w:r>
      <w:r>
        <w:rPr>
          <w:rFonts w:hint="eastAsia" w:ascii="仿宋" w:hAnsi="仿宋" w:eastAsia="仿宋"/>
          <w:sz w:val="28"/>
          <w:szCs w:val="28"/>
          <w:highlight w:val="none"/>
        </w:rPr>
        <w:t>；</w:t>
      </w:r>
      <w:r>
        <w:rPr>
          <w:rFonts w:ascii="仿宋" w:hAnsi="仿宋" w:eastAsia="仿宋"/>
          <w:sz w:val="28"/>
          <w:szCs w:val="28"/>
          <w:highlight w:val="none"/>
        </w:rPr>
        <w:t>注水、注气开发有效提高了采收率，但其窜流问题较为突出</w:t>
      </w:r>
      <w:r>
        <w:rPr>
          <w:rFonts w:hint="eastAsia" w:ascii="仿宋" w:hAnsi="仿宋" w:eastAsia="仿宋"/>
          <w:sz w:val="28"/>
          <w:szCs w:val="28"/>
          <w:highlight w:val="none"/>
        </w:rPr>
        <w:t>，</w:t>
      </w:r>
      <w:r>
        <w:rPr>
          <w:rFonts w:ascii="仿宋" w:hAnsi="仿宋" w:eastAsia="仿宋"/>
          <w:sz w:val="28"/>
          <w:szCs w:val="28"/>
          <w:highlight w:val="none"/>
        </w:rPr>
        <w:t>泡沫</w:t>
      </w:r>
      <w:r>
        <w:rPr>
          <w:rFonts w:hint="eastAsia" w:ascii="仿宋" w:hAnsi="仿宋" w:eastAsia="仿宋"/>
          <w:sz w:val="28"/>
          <w:szCs w:val="28"/>
          <w:highlight w:val="none"/>
        </w:rPr>
        <w:t>驱</w:t>
      </w:r>
      <w:r>
        <w:rPr>
          <w:rFonts w:ascii="仿宋" w:hAnsi="仿宋" w:eastAsia="仿宋"/>
          <w:sz w:val="28"/>
          <w:szCs w:val="28"/>
          <w:highlight w:val="none"/>
        </w:rPr>
        <w:t>是缝洞单元氮气驱失效的主要治理</w:t>
      </w:r>
      <w:r>
        <w:rPr>
          <w:rFonts w:hint="eastAsia" w:ascii="仿宋" w:hAnsi="仿宋" w:eastAsia="仿宋"/>
          <w:sz w:val="28"/>
          <w:szCs w:val="28"/>
          <w:highlight w:val="none"/>
        </w:rPr>
        <w:t>方向</w:t>
      </w:r>
      <w:r>
        <w:rPr>
          <w:rFonts w:ascii="仿宋" w:hAnsi="仿宋" w:eastAsia="仿宋"/>
          <w:sz w:val="28"/>
          <w:szCs w:val="28"/>
          <w:highlight w:val="none"/>
        </w:rPr>
        <w:t>，</w:t>
      </w:r>
      <w:r>
        <w:rPr>
          <w:rFonts w:hint="eastAsia" w:ascii="仿宋" w:hAnsi="仿宋" w:eastAsia="仿宋"/>
          <w:sz w:val="28"/>
          <w:szCs w:val="28"/>
          <w:highlight w:val="none"/>
        </w:rPr>
        <w:t>但</w:t>
      </w:r>
      <w:r>
        <w:rPr>
          <w:rFonts w:ascii="仿宋" w:hAnsi="仿宋" w:eastAsia="仿宋"/>
          <w:sz w:val="28"/>
          <w:szCs w:val="28"/>
          <w:highlight w:val="none"/>
        </w:rPr>
        <w:t>现场效果差异巨大，</w:t>
      </w:r>
      <w:r>
        <w:rPr>
          <w:rFonts w:hint="eastAsia" w:ascii="仿宋" w:hAnsi="仿宋" w:eastAsia="仿宋"/>
          <w:sz w:val="28"/>
          <w:szCs w:val="28"/>
          <w:highlight w:val="none"/>
        </w:rPr>
        <w:t>对注CO</w:t>
      </w:r>
      <w:r>
        <w:rPr>
          <w:rFonts w:hint="eastAsia" w:ascii="仿宋" w:hAnsi="仿宋" w:eastAsia="仿宋"/>
          <w:sz w:val="28"/>
          <w:szCs w:val="28"/>
          <w:highlight w:val="none"/>
          <w:vertAlign w:val="subscript"/>
        </w:rPr>
        <w:t>2</w:t>
      </w:r>
      <w:r>
        <w:rPr>
          <w:rFonts w:hint="eastAsia" w:ascii="仿宋" w:hAnsi="仿宋" w:eastAsia="仿宋"/>
          <w:sz w:val="28"/>
          <w:szCs w:val="28"/>
          <w:highlight w:val="none"/>
        </w:rPr>
        <w:t>和增粘水协同效应的研究尚属空白</w:t>
      </w:r>
      <w:r>
        <w:rPr>
          <w:rFonts w:ascii="仿宋" w:hAnsi="仿宋" w:eastAsia="仿宋"/>
          <w:sz w:val="28"/>
          <w:szCs w:val="28"/>
          <w:highlight w:val="none"/>
        </w:rPr>
        <w:t>。</w:t>
      </w:r>
    </w:p>
    <w:p w14:paraId="43181FA1">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预期成果：</w:t>
      </w:r>
      <w:r>
        <w:rPr>
          <w:rFonts w:hint="eastAsia" w:ascii="仿宋" w:hAnsi="仿宋" w:eastAsia="仿宋"/>
          <w:sz w:val="28"/>
          <w:szCs w:val="28"/>
          <w:highlight w:val="none"/>
        </w:rPr>
        <w:t>建立</w:t>
      </w:r>
      <w:r>
        <w:rPr>
          <w:rFonts w:ascii="仿宋" w:hAnsi="仿宋" w:eastAsia="仿宋"/>
          <w:sz w:val="28"/>
          <w:szCs w:val="28"/>
          <w:highlight w:val="none"/>
        </w:rPr>
        <w:t>缝洞单元气体和增粘水协同</w:t>
      </w:r>
      <w:r>
        <w:rPr>
          <w:rFonts w:hint="eastAsia" w:ascii="仿宋" w:hAnsi="仿宋" w:eastAsia="仿宋"/>
          <w:sz w:val="28"/>
          <w:szCs w:val="28"/>
          <w:highlight w:val="none"/>
        </w:rPr>
        <w:t>效应</w:t>
      </w:r>
      <w:r>
        <w:rPr>
          <w:rFonts w:ascii="仿宋" w:hAnsi="仿宋" w:eastAsia="仿宋"/>
          <w:sz w:val="28"/>
          <w:szCs w:val="28"/>
          <w:highlight w:val="none"/>
        </w:rPr>
        <w:t>机理</w:t>
      </w:r>
      <w:r>
        <w:rPr>
          <w:rFonts w:hint="eastAsia" w:ascii="仿宋" w:hAnsi="仿宋" w:eastAsia="仿宋"/>
          <w:sz w:val="28"/>
          <w:szCs w:val="28"/>
          <w:highlight w:val="none"/>
        </w:rPr>
        <w:t>表述</w:t>
      </w:r>
      <w:r>
        <w:rPr>
          <w:rFonts w:ascii="仿宋" w:hAnsi="仿宋" w:eastAsia="仿宋"/>
          <w:sz w:val="28"/>
          <w:szCs w:val="28"/>
          <w:highlight w:val="none"/>
        </w:rPr>
        <w:t>数学表征</w:t>
      </w:r>
      <w:r>
        <w:rPr>
          <w:rFonts w:hint="eastAsia" w:ascii="仿宋" w:hAnsi="仿宋" w:eastAsia="仿宋"/>
          <w:sz w:val="28"/>
          <w:szCs w:val="28"/>
          <w:highlight w:val="none"/>
        </w:rPr>
        <w:t>方法；建立</w:t>
      </w:r>
      <w:r>
        <w:rPr>
          <w:rFonts w:ascii="仿宋" w:hAnsi="仿宋" w:eastAsia="仿宋"/>
          <w:sz w:val="28"/>
          <w:szCs w:val="28"/>
          <w:highlight w:val="none"/>
        </w:rPr>
        <w:t>缝洞单元气体和增粘水交替注入数值模拟</w:t>
      </w:r>
      <w:r>
        <w:rPr>
          <w:rFonts w:hint="eastAsia" w:ascii="仿宋" w:hAnsi="仿宋" w:eastAsia="仿宋"/>
          <w:sz w:val="28"/>
          <w:szCs w:val="28"/>
          <w:highlight w:val="none"/>
        </w:rPr>
        <w:t>方法</w:t>
      </w:r>
      <w:r>
        <w:rPr>
          <w:rFonts w:ascii="仿宋" w:hAnsi="仿宋" w:eastAsia="仿宋"/>
          <w:sz w:val="28"/>
          <w:szCs w:val="28"/>
          <w:highlight w:val="none"/>
        </w:rPr>
        <w:t>。</w:t>
      </w:r>
    </w:p>
    <w:p w14:paraId="0F8239A9">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①研发一套适用于缝洞油藏条件下的增粘水驱体系</w:t>
      </w:r>
      <w:r>
        <w:rPr>
          <w:rFonts w:ascii="仿宋" w:hAnsi="仿宋" w:eastAsia="仿宋"/>
          <w:sz w:val="28"/>
          <w:szCs w:val="28"/>
          <w:highlight w:val="none"/>
        </w:rPr>
        <w:t>；</w:t>
      </w:r>
      <w:r>
        <w:rPr>
          <w:rFonts w:hint="eastAsia" w:ascii="仿宋" w:hAnsi="仿宋" w:eastAsia="仿宋"/>
          <w:sz w:val="28"/>
          <w:szCs w:val="28"/>
          <w:highlight w:val="none"/>
        </w:rPr>
        <w:t>②</w:t>
      </w:r>
      <w:r>
        <w:rPr>
          <w:rFonts w:ascii="仿宋" w:hAnsi="仿宋" w:eastAsia="仿宋"/>
          <w:sz w:val="28"/>
          <w:szCs w:val="28"/>
          <w:highlight w:val="none"/>
        </w:rPr>
        <w:t>研制可视化缝洞模型，识别并预测优势流动通道准确率达到85%以上</w:t>
      </w:r>
      <w:r>
        <w:rPr>
          <w:rFonts w:hint="eastAsia" w:ascii="仿宋" w:hAnsi="仿宋" w:eastAsia="仿宋"/>
          <w:sz w:val="28"/>
          <w:szCs w:val="28"/>
          <w:highlight w:val="none"/>
        </w:rPr>
        <w:t>；③联合撰写中文核心或SCI论文1篇</w:t>
      </w:r>
      <w:r>
        <w:rPr>
          <w:rFonts w:ascii="仿宋" w:hAnsi="仿宋" w:eastAsia="仿宋"/>
          <w:sz w:val="28"/>
          <w:szCs w:val="28"/>
          <w:highlight w:val="none"/>
        </w:rPr>
        <w:t>。</w:t>
      </w:r>
    </w:p>
    <w:p w14:paraId="5D1CF008">
      <w:pPr>
        <w:ind w:firstLine="562" w:firstLineChars="200"/>
        <w:rPr>
          <w:rFonts w:ascii="仿宋" w:hAnsi="仿宋" w:eastAsia="仿宋"/>
          <w:b/>
          <w:sz w:val="28"/>
          <w:szCs w:val="32"/>
          <w:highlight w:val="none"/>
        </w:rPr>
      </w:pPr>
      <w:r>
        <w:rPr>
          <w:rFonts w:ascii="仿宋" w:hAnsi="仿宋" w:eastAsia="仿宋"/>
          <w:b/>
          <w:sz w:val="28"/>
          <w:szCs w:val="32"/>
          <w:highlight w:val="none"/>
        </w:rPr>
        <w:t>重点攻关方向2</w:t>
      </w:r>
      <w:r>
        <w:rPr>
          <w:rFonts w:hint="eastAsia" w:ascii="仿宋" w:hAnsi="仿宋" w:eastAsia="仿宋"/>
          <w:b/>
          <w:sz w:val="28"/>
          <w:szCs w:val="32"/>
          <w:highlight w:val="none"/>
        </w:rPr>
        <w:t>：泡沫在不同导流能力双介质模型中的相分异机制</w:t>
      </w:r>
    </w:p>
    <w:p w14:paraId="57E889F6">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ascii="仿宋" w:hAnsi="仿宋" w:eastAsia="仿宋"/>
          <w:sz w:val="28"/>
          <w:szCs w:val="28"/>
          <w:highlight w:val="none"/>
        </w:rPr>
        <w:t>随着前期注</w:t>
      </w:r>
      <w:r>
        <w:rPr>
          <w:rFonts w:hint="eastAsia" w:ascii="仿宋" w:hAnsi="仿宋" w:eastAsia="仿宋"/>
          <w:sz w:val="28"/>
          <w:szCs w:val="28"/>
          <w:highlight w:val="none"/>
        </w:rPr>
        <w:t>氮气气窜</w:t>
      </w:r>
      <w:r>
        <w:rPr>
          <w:rFonts w:ascii="仿宋" w:hAnsi="仿宋" w:eastAsia="仿宋"/>
          <w:sz w:val="28"/>
          <w:szCs w:val="28"/>
          <w:highlight w:val="none"/>
        </w:rPr>
        <w:t>等问题，等密度泡沫驱油，低密度泡沫堵水剂逐渐成为新的方向，已进入现场试验。但是缝洞型碳酸盐岩泡沫驱在孔洞、裂缝双重介质中作用，基础研究尚有较大欠缺，现场矿场应用设计缺乏理论依据。</w:t>
      </w:r>
    </w:p>
    <w:p w14:paraId="61FC50CF">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预期成果：</w:t>
      </w:r>
      <w:r>
        <w:rPr>
          <w:rFonts w:ascii="仿宋" w:hAnsi="仿宋" w:eastAsia="仿宋"/>
          <w:sz w:val="28"/>
          <w:szCs w:val="28"/>
          <w:highlight w:val="none"/>
        </w:rPr>
        <w:t>通过建立典型物理模型，</w:t>
      </w:r>
      <w:r>
        <w:rPr>
          <w:rFonts w:hint="eastAsia" w:ascii="仿宋" w:hAnsi="仿宋" w:eastAsia="仿宋"/>
          <w:sz w:val="28"/>
          <w:szCs w:val="28"/>
          <w:highlight w:val="none"/>
        </w:rPr>
        <w:t>明确微腔体中泡沫行为特征；探讨</w:t>
      </w:r>
      <w:r>
        <w:rPr>
          <w:rFonts w:ascii="仿宋" w:hAnsi="仿宋" w:eastAsia="仿宋"/>
          <w:sz w:val="28"/>
          <w:szCs w:val="28"/>
          <w:highlight w:val="none"/>
        </w:rPr>
        <w:t>导流能力不同的双介质模型中泡沫的相分异</w:t>
      </w:r>
      <w:r>
        <w:rPr>
          <w:rFonts w:hint="eastAsia" w:ascii="仿宋" w:hAnsi="仿宋" w:eastAsia="仿宋"/>
          <w:sz w:val="28"/>
          <w:szCs w:val="28"/>
          <w:highlight w:val="none"/>
        </w:rPr>
        <w:t>特征，</w:t>
      </w:r>
      <w:r>
        <w:rPr>
          <w:rFonts w:ascii="仿宋" w:hAnsi="仿宋" w:eastAsia="仿宋"/>
          <w:sz w:val="28"/>
          <w:szCs w:val="28"/>
          <w:highlight w:val="none"/>
        </w:rPr>
        <w:t>建立相应的预测方程，揭示相应的分配机制。</w:t>
      </w:r>
    </w:p>
    <w:p w14:paraId="37EE040F">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w:t>
      </w:r>
      <w:r>
        <w:rPr>
          <w:rFonts w:ascii="仿宋" w:hAnsi="仿宋" w:eastAsia="仿宋"/>
          <w:sz w:val="28"/>
          <w:szCs w:val="28"/>
          <w:highlight w:val="none"/>
        </w:rPr>
        <w:t>建立泡沫在双重介质中相分异预测方程；</w:t>
      </w:r>
      <w:r>
        <w:rPr>
          <w:rFonts w:hint="eastAsia" w:ascii="仿宋" w:hAnsi="仿宋" w:eastAsia="仿宋"/>
          <w:sz w:val="28"/>
          <w:szCs w:val="28"/>
          <w:highlight w:val="none"/>
        </w:rPr>
        <w:t>②</w:t>
      </w:r>
      <w:r>
        <w:rPr>
          <w:rFonts w:ascii="仿宋" w:hAnsi="仿宋" w:eastAsia="仿宋"/>
          <w:sz w:val="28"/>
          <w:szCs w:val="28"/>
          <w:highlight w:val="none"/>
        </w:rPr>
        <w:t>联合撰写中文核心或SCI论文1篇。</w:t>
      </w:r>
    </w:p>
    <w:p w14:paraId="295ED83A">
      <w:pPr>
        <w:ind w:firstLine="562" w:firstLineChars="200"/>
        <w:rPr>
          <w:rFonts w:ascii="仿宋" w:hAnsi="仿宋" w:eastAsia="仿宋"/>
          <w:b/>
          <w:sz w:val="28"/>
          <w:szCs w:val="32"/>
          <w:highlight w:val="none"/>
        </w:rPr>
      </w:pPr>
      <w:r>
        <w:rPr>
          <w:rFonts w:ascii="仿宋" w:hAnsi="仿宋" w:eastAsia="仿宋"/>
          <w:b/>
          <w:sz w:val="28"/>
          <w:szCs w:val="32"/>
          <w:highlight w:val="none"/>
        </w:rPr>
        <w:t>重点攻关方向3</w:t>
      </w:r>
      <w:r>
        <w:rPr>
          <w:rFonts w:hint="eastAsia" w:ascii="仿宋" w:hAnsi="仿宋" w:eastAsia="仿宋"/>
          <w:b/>
          <w:sz w:val="28"/>
          <w:szCs w:val="32"/>
          <w:highlight w:val="none"/>
        </w:rPr>
        <w:t>：</w:t>
      </w:r>
      <w:r>
        <w:rPr>
          <w:rFonts w:hint="eastAsia" w:ascii="仿宋" w:hAnsi="仿宋" w:eastAsia="仿宋" w:cs="宋体"/>
          <w:color w:val="000000"/>
          <w:kern w:val="0"/>
          <w:sz w:val="30"/>
          <w:szCs w:val="30"/>
          <w:highlight w:val="none"/>
        </w:rPr>
        <w:t>耐170℃硫磺橡胶堵剂作用机制与耐温抗盐机理</w:t>
      </w:r>
    </w:p>
    <w:p w14:paraId="71AFAA28">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hint="eastAsia" w:ascii="仿宋" w:hAnsi="仿宋" w:eastAsia="仿宋"/>
          <w:sz w:val="28"/>
          <w:szCs w:val="28"/>
          <w:highlight w:val="none"/>
        </w:rPr>
        <w:t>顺北区块近三年含水逐步抬升（</w:t>
      </w:r>
      <w:r>
        <w:rPr>
          <w:rFonts w:ascii="仿宋" w:hAnsi="仿宋" w:eastAsia="仿宋"/>
          <w:sz w:val="28"/>
          <w:szCs w:val="28"/>
          <w:highlight w:val="none"/>
        </w:rPr>
        <w:t>10.6%↑14%），但顺北油藏温度高达170℃，目前塔河工区常用堵剂无法满足顺北工区工况条件，亟需开展耐超高温堵剂测试与评价，为后期体系定性分析提供基础实验数据。塔河油田五号联、六号联油气田脱硫后产生大量低质低品位硫磺，在170℃下，具有热解开环复合有机交联固化的潜力，拟以油田自产硫磺为主剂，构建耐超高温抗高盐硫磺橡胶体系，为顺北区块高效开发做技术储备。</w:t>
      </w:r>
    </w:p>
    <w:p w14:paraId="645C3887">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预期成果：</w:t>
      </w:r>
      <w:r>
        <w:rPr>
          <w:rFonts w:hint="eastAsia" w:ascii="仿宋" w:hAnsi="仿宋" w:eastAsia="仿宋"/>
          <w:sz w:val="28"/>
          <w:szCs w:val="28"/>
          <w:highlight w:val="none"/>
        </w:rPr>
        <w:t>明确</w:t>
      </w:r>
      <w:r>
        <w:rPr>
          <w:rFonts w:ascii="仿宋" w:hAnsi="仿宋" w:eastAsia="仿宋"/>
          <w:sz w:val="28"/>
          <w:szCs w:val="28"/>
          <w:highlight w:val="none"/>
        </w:rPr>
        <w:t>耐超高温抗高盐硫磺橡胶成胶机理；</w:t>
      </w:r>
      <w:r>
        <w:rPr>
          <w:rFonts w:hint="eastAsia" w:ascii="仿宋" w:hAnsi="仿宋" w:eastAsia="仿宋"/>
          <w:sz w:val="28"/>
          <w:szCs w:val="28"/>
          <w:highlight w:val="none"/>
        </w:rPr>
        <w:t>构建耐超高温抗高盐硫磺橡胶体系。</w:t>
      </w:r>
    </w:p>
    <w:p w14:paraId="09AC0694">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w:t>
      </w:r>
      <w:r>
        <w:rPr>
          <w:rFonts w:ascii="仿宋" w:hAnsi="仿宋" w:eastAsia="仿宋"/>
          <w:sz w:val="28"/>
          <w:szCs w:val="28"/>
          <w:highlight w:val="none"/>
        </w:rPr>
        <w:t>形成耐温 170℃，抗盐 21 万mg/L硫磺橡胶体系，成胶时间&gt;6h，突破压力＞5MPa/m；老化稳定性&gt;30天；</w:t>
      </w:r>
      <w:r>
        <w:rPr>
          <w:rFonts w:hint="eastAsia" w:ascii="仿宋" w:hAnsi="仿宋" w:eastAsia="仿宋"/>
          <w:sz w:val="28"/>
          <w:szCs w:val="28"/>
          <w:highlight w:val="none"/>
        </w:rPr>
        <w:t>②</w:t>
      </w:r>
      <w:r>
        <w:rPr>
          <w:rFonts w:ascii="仿宋" w:hAnsi="仿宋" w:eastAsia="仿宋"/>
          <w:sz w:val="28"/>
          <w:szCs w:val="28"/>
          <w:highlight w:val="none"/>
        </w:rPr>
        <w:t>联合撰写中文核心或SCI论文1篇。</w:t>
      </w:r>
    </w:p>
    <w:p w14:paraId="20146659">
      <w:pPr>
        <w:ind w:firstLine="562" w:firstLineChars="200"/>
        <w:rPr>
          <w:rFonts w:ascii="仿宋" w:hAnsi="仿宋" w:eastAsia="仿宋"/>
          <w:b/>
          <w:sz w:val="28"/>
          <w:szCs w:val="32"/>
          <w:highlight w:val="none"/>
        </w:rPr>
      </w:pPr>
      <w:r>
        <w:rPr>
          <w:rFonts w:ascii="仿宋" w:hAnsi="仿宋" w:eastAsia="仿宋"/>
          <w:b/>
          <w:sz w:val="28"/>
          <w:szCs w:val="32"/>
          <w:highlight w:val="none"/>
        </w:rPr>
        <w:t>重点攻关方向4</w:t>
      </w:r>
      <w:r>
        <w:rPr>
          <w:rFonts w:hint="eastAsia" w:ascii="仿宋" w:hAnsi="仿宋" w:eastAsia="仿宋"/>
          <w:b/>
          <w:sz w:val="28"/>
          <w:szCs w:val="32"/>
          <w:highlight w:val="none"/>
        </w:rPr>
        <w:t>：缝洞型油藏防气窜机制及</w:t>
      </w:r>
      <w:r>
        <w:rPr>
          <w:rFonts w:ascii="仿宋" w:hAnsi="仿宋" w:eastAsia="仿宋"/>
          <w:b/>
          <w:sz w:val="28"/>
          <w:szCs w:val="32"/>
          <w:highlight w:val="none"/>
        </w:rPr>
        <w:t>N</w:t>
      </w:r>
      <w:r>
        <w:rPr>
          <w:rFonts w:ascii="仿宋" w:hAnsi="仿宋" w:eastAsia="仿宋"/>
          <w:b/>
          <w:sz w:val="28"/>
          <w:szCs w:val="32"/>
          <w:highlight w:val="none"/>
          <w:vertAlign w:val="subscript"/>
        </w:rPr>
        <w:t>2</w:t>
      </w:r>
      <w:r>
        <w:rPr>
          <w:rFonts w:ascii="仿宋" w:hAnsi="仿宋" w:eastAsia="仿宋"/>
          <w:b/>
          <w:sz w:val="28"/>
          <w:szCs w:val="32"/>
          <w:highlight w:val="none"/>
        </w:rPr>
        <w:t>/CO</w:t>
      </w:r>
      <w:r>
        <w:rPr>
          <w:rFonts w:ascii="仿宋" w:hAnsi="仿宋" w:eastAsia="仿宋"/>
          <w:b/>
          <w:sz w:val="28"/>
          <w:szCs w:val="32"/>
          <w:highlight w:val="none"/>
          <w:vertAlign w:val="subscript"/>
        </w:rPr>
        <w:t>2</w:t>
      </w:r>
      <w:r>
        <w:rPr>
          <w:rFonts w:ascii="仿宋" w:hAnsi="仿宋" w:eastAsia="仿宋"/>
          <w:b/>
          <w:sz w:val="28"/>
          <w:szCs w:val="32"/>
          <w:highlight w:val="none"/>
        </w:rPr>
        <w:t>响应型封堵剂作用机理</w:t>
      </w:r>
    </w:p>
    <w:p w14:paraId="324FCD90">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设立</w:t>
      </w:r>
      <w:r>
        <w:rPr>
          <w:rStyle w:val="6"/>
          <w:rFonts w:hint="eastAsia" w:ascii="仿宋" w:hAnsi="仿宋" w:eastAsia="仿宋"/>
          <w:color w:val="7A4442"/>
          <w:sz w:val="28"/>
          <w:szCs w:val="28"/>
          <w:highlight w:val="none"/>
        </w:rPr>
        <w:t>背景</w:t>
      </w:r>
      <w:r>
        <w:rPr>
          <w:rStyle w:val="6"/>
          <w:rFonts w:ascii="仿宋" w:hAnsi="仿宋" w:eastAsia="仿宋"/>
          <w:color w:val="7A4442"/>
          <w:sz w:val="28"/>
          <w:szCs w:val="28"/>
          <w:highlight w:val="none"/>
        </w:rPr>
        <w:t>：</w:t>
      </w:r>
      <w:r>
        <w:rPr>
          <w:rFonts w:ascii="仿宋" w:hAnsi="仿宋" w:eastAsia="仿宋"/>
          <w:sz w:val="28"/>
          <w:szCs w:val="28"/>
          <w:highlight w:val="none"/>
        </w:rPr>
        <w:t>10北、12区</w:t>
      </w:r>
      <w:r>
        <w:rPr>
          <w:rFonts w:hint="eastAsia" w:ascii="仿宋" w:hAnsi="仿宋" w:eastAsia="仿宋"/>
          <w:sz w:val="28"/>
          <w:szCs w:val="28"/>
          <w:highlight w:val="none"/>
        </w:rPr>
        <w:t xml:space="preserve"> </w:t>
      </w:r>
      <w:r>
        <w:rPr>
          <w:rFonts w:ascii="仿宋" w:hAnsi="仿宋" w:eastAsia="仿宋"/>
          <w:sz w:val="28"/>
          <w:szCs w:val="28"/>
          <w:highlight w:val="none"/>
        </w:rPr>
        <w:t>稠油油藏区块2023年注气增油量49.25万吨，占总注气总增油量的47.36%，但动用程度仅为38.65%，注气产量完成是区块稳产的关键。但是目前稠油区块气窜问题逐渐凸显，采油二厂10区北、12区气窜井组14个，随着后续大单元大规模注气，气窜后，产量影响大</w:t>
      </w:r>
      <w:r>
        <w:rPr>
          <w:rFonts w:hint="eastAsia" w:ascii="仿宋" w:hAnsi="仿宋" w:eastAsia="仿宋"/>
          <w:sz w:val="28"/>
          <w:szCs w:val="28"/>
          <w:highlight w:val="none"/>
        </w:rPr>
        <w:t>。</w:t>
      </w:r>
      <w:r>
        <w:rPr>
          <w:rFonts w:ascii="仿宋" w:hAnsi="仿宋" w:eastAsia="仿宋"/>
          <w:sz w:val="28"/>
          <w:szCs w:val="28"/>
          <w:highlight w:val="none"/>
        </w:rPr>
        <w:t xml:space="preserve"> N</w:t>
      </w:r>
      <w:r>
        <w:rPr>
          <w:rFonts w:ascii="仿宋" w:hAnsi="仿宋" w:eastAsia="仿宋"/>
          <w:sz w:val="28"/>
          <w:szCs w:val="28"/>
          <w:highlight w:val="none"/>
          <w:vertAlign w:val="subscript"/>
        </w:rPr>
        <w:t>2</w:t>
      </w:r>
      <w:r>
        <w:rPr>
          <w:rFonts w:ascii="仿宋" w:hAnsi="仿宋" w:eastAsia="仿宋"/>
          <w:sz w:val="28"/>
          <w:szCs w:val="28"/>
          <w:highlight w:val="none"/>
        </w:rPr>
        <w:t>/CO</w:t>
      </w:r>
      <w:r>
        <w:rPr>
          <w:rFonts w:ascii="仿宋" w:hAnsi="仿宋" w:eastAsia="仿宋"/>
          <w:sz w:val="28"/>
          <w:szCs w:val="28"/>
          <w:highlight w:val="none"/>
          <w:vertAlign w:val="subscript"/>
        </w:rPr>
        <w:t>2</w:t>
      </w:r>
      <w:r>
        <w:rPr>
          <w:rFonts w:ascii="仿宋" w:hAnsi="仿宋" w:eastAsia="仿宋"/>
          <w:sz w:val="28"/>
          <w:szCs w:val="28"/>
          <w:highlight w:val="none"/>
        </w:rPr>
        <w:t xml:space="preserve">响应型气窜封堵剂东部油田应用中体现了较好的气相封堵效果，但其在高温高盐环境下的响应机制、裂缝尺度下的封堵效率相关研究目前较少，缺乏借鉴，无法有效指导现场应用。   </w:t>
      </w:r>
    </w:p>
    <w:p w14:paraId="575DD569">
      <w:pPr>
        <w:ind w:firstLine="562" w:firstLineChars="200"/>
        <w:rPr>
          <w:rFonts w:ascii="仿宋" w:hAnsi="仿宋" w:eastAsia="仿宋"/>
          <w:sz w:val="28"/>
          <w:szCs w:val="28"/>
          <w:highlight w:val="none"/>
        </w:rPr>
      </w:pPr>
      <w:r>
        <w:rPr>
          <w:rStyle w:val="6"/>
          <w:rFonts w:ascii="仿宋" w:hAnsi="仿宋" w:eastAsia="仿宋"/>
          <w:color w:val="7A4442"/>
          <w:sz w:val="28"/>
          <w:szCs w:val="28"/>
          <w:highlight w:val="none"/>
        </w:rPr>
        <w:t>预期成果：</w:t>
      </w:r>
      <w:r>
        <w:rPr>
          <w:rFonts w:ascii="仿宋" w:hAnsi="仿宋" w:eastAsia="仿宋"/>
          <w:sz w:val="28"/>
          <w:szCs w:val="28"/>
          <w:highlight w:val="none"/>
        </w:rPr>
        <w:t>明确N</w:t>
      </w:r>
      <w:r>
        <w:rPr>
          <w:rFonts w:ascii="仿宋" w:hAnsi="仿宋" w:eastAsia="仿宋"/>
          <w:sz w:val="28"/>
          <w:szCs w:val="28"/>
          <w:highlight w:val="none"/>
          <w:vertAlign w:val="subscript"/>
        </w:rPr>
        <w:t>2</w:t>
      </w:r>
      <w:r>
        <w:rPr>
          <w:rFonts w:ascii="仿宋" w:hAnsi="仿宋" w:eastAsia="仿宋"/>
          <w:sz w:val="28"/>
          <w:szCs w:val="28"/>
          <w:highlight w:val="none"/>
        </w:rPr>
        <w:t>/CO</w:t>
      </w:r>
      <w:r>
        <w:rPr>
          <w:rFonts w:ascii="仿宋" w:hAnsi="仿宋" w:eastAsia="仿宋"/>
          <w:sz w:val="28"/>
          <w:szCs w:val="28"/>
          <w:highlight w:val="none"/>
          <w:vertAlign w:val="subscript"/>
        </w:rPr>
        <w:t>2</w:t>
      </w:r>
      <w:r>
        <w:rPr>
          <w:rFonts w:ascii="仿宋" w:hAnsi="仿宋" w:eastAsia="仿宋"/>
          <w:sz w:val="28"/>
          <w:szCs w:val="28"/>
          <w:highlight w:val="none"/>
        </w:rPr>
        <w:t>响应型气窜封堵剂分子结构、聚集形态与响应性能的构效关系</w:t>
      </w:r>
      <w:r>
        <w:rPr>
          <w:rFonts w:hint="eastAsia" w:ascii="仿宋" w:hAnsi="仿宋" w:eastAsia="仿宋"/>
          <w:sz w:val="28"/>
          <w:szCs w:val="28"/>
          <w:highlight w:val="none"/>
        </w:rPr>
        <w:t>、</w:t>
      </w:r>
      <w:r>
        <w:rPr>
          <w:rFonts w:ascii="仿宋" w:hAnsi="仿宋" w:eastAsia="仿宋"/>
          <w:sz w:val="28"/>
          <w:szCs w:val="28"/>
          <w:highlight w:val="none"/>
        </w:rPr>
        <w:t>响应机制</w:t>
      </w:r>
      <w:r>
        <w:rPr>
          <w:rFonts w:hint="eastAsia" w:ascii="仿宋" w:hAnsi="仿宋" w:eastAsia="仿宋"/>
          <w:sz w:val="28"/>
          <w:szCs w:val="28"/>
          <w:highlight w:val="none"/>
        </w:rPr>
        <w:t>及</w:t>
      </w:r>
      <w:r>
        <w:rPr>
          <w:rFonts w:ascii="仿宋" w:hAnsi="仿宋" w:eastAsia="仿宋"/>
          <w:sz w:val="28"/>
          <w:szCs w:val="28"/>
          <w:highlight w:val="none"/>
        </w:rPr>
        <w:t>封堵机理；</w:t>
      </w:r>
      <w:r>
        <w:rPr>
          <w:rFonts w:hint="eastAsia" w:ascii="仿宋" w:hAnsi="仿宋" w:eastAsia="仿宋"/>
          <w:sz w:val="28"/>
          <w:szCs w:val="28"/>
          <w:highlight w:val="none"/>
        </w:rPr>
        <w:t>形成</w:t>
      </w:r>
      <w:r>
        <w:rPr>
          <w:rFonts w:ascii="仿宋" w:hAnsi="仿宋" w:eastAsia="仿宋"/>
          <w:sz w:val="28"/>
          <w:szCs w:val="28"/>
          <w:highlight w:val="none"/>
        </w:rPr>
        <w:t>适合高温高盐条件N</w:t>
      </w:r>
      <w:r>
        <w:rPr>
          <w:rFonts w:ascii="仿宋" w:hAnsi="仿宋" w:eastAsia="仿宋"/>
          <w:sz w:val="28"/>
          <w:szCs w:val="28"/>
          <w:highlight w:val="none"/>
          <w:vertAlign w:val="subscript"/>
        </w:rPr>
        <w:t>2</w:t>
      </w:r>
      <w:r>
        <w:rPr>
          <w:rFonts w:ascii="仿宋" w:hAnsi="仿宋" w:eastAsia="仿宋"/>
          <w:sz w:val="28"/>
          <w:szCs w:val="28"/>
          <w:highlight w:val="none"/>
        </w:rPr>
        <w:t>/CO</w:t>
      </w:r>
      <w:r>
        <w:rPr>
          <w:rFonts w:ascii="仿宋" w:hAnsi="仿宋" w:eastAsia="仿宋"/>
          <w:sz w:val="28"/>
          <w:szCs w:val="28"/>
          <w:highlight w:val="none"/>
          <w:vertAlign w:val="subscript"/>
        </w:rPr>
        <w:t>2</w:t>
      </w:r>
      <w:r>
        <w:rPr>
          <w:rFonts w:ascii="仿宋" w:hAnsi="仿宋" w:eastAsia="仿宋"/>
          <w:sz w:val="28"/>
          <w:szCs w:val="28"/>
          <w:highlight w:val="none"/>
        </w:rPr>
        <w:t>响应型气窜封堵剂。</w:t>
      </w:r>
    </w:p>
    <w:p w14:paraId="4DAE42AB">
      <w:pPr>
        <w:ind w:firstLine="562" w:firstLineChars="200"/>
        <w:rPr>
          <w:rFonts w:hint="eastAsia" w:ascii="仿宋" w:hAnsi="仿宋" w:eastAsia="仿宋"/>
          <w:sz w:val="28"/>
          <w:szCs w:val="28"/>
          <w:highlight w:val="none"/>
          <w:lang w:val="en-US" w:eastAsia="zh-CN"/>
        </w:rPr>
      </w:pPr>
      <w:r>
        <w:rPr>
          <w:rStyle w:val="6"/>
          <w:rFonts w:ascii="仿宋" w:hAnsi="仿宋" w:eastAsia="仿宋"/>
          <w:color w:val="7A4442"/>
          <w:sz w:val="28"/>
          <w:szCs w:val="28"/>
          <w:highlight w:val="none"/>
        </w:rPr>
        <w:t>考核指标：</w:t>
      </w:r>
      <w:r>
        <w:rPr>
          <w:rFonts w:hint="eastAsia" w:ascii="仿宋" w:hAnsi="仿宋" w:eastAsia="仿宋"/>
          <w:sz w:val="28"/>
          <w:szCs w:val="28"/>
          <w:highlight w:val="none"/>
        </w:rPr>
        <w:t>①</w:t>
      </w:r>
      <w:r>
        <w:rPr>
          <w:rFonts w:ascii="仿宋" w:hAnsi="仿宋" w:eastAsia="仿宋"/>
          <w:sz w:val="28"/>
          <w:szCs w:val="28"/>
          <w:highlight w:val="none"/>
        </w:rPr>
        <w:t>探索高温高压条件下气窜封堵剂材料的气体响应机制及防窜封堵机理；</w:t>
      </w:r>
      <w:r>
        <w:rPr>
          <w:rFonts w:hint="eastAsia" w:ascii="仿宋" w:hAnsi="仿宋" w:eastAsia="仿宋"/>
          <w:sz w:val="28"/>
          <w:szCs w:val="28"/>
          <w:highlight w:val="none"/>
        </w:rPr>
        <w:t>②</w:t>
      </w:r>
      <w:r>
        <w:rPr>
          <w:rFonts w:ascii="仿宋" w:hAnsi="仿宋" w:eastAsia="仿宋"/>
          <w:sz w:val="28"/>
          <w:szCs w:val="28"/>
          <w:highlight w:val="none"/>
        </w:rPr>
        <w:t>形成1套N</w:t>
      </w:r>
      <w:r>
        <w:rPr>
          <w:rFonts w:ascii="仿宋" w:hAnsi="仿宋" w:eastAsia="仿宋"/>
          <w:sz w:val="28"/>
          <w:szCs w:val="28"/>
          <w:highlight w:val="none"/>
          <w:vertAlign w:val="subscript"/>
        </w:rPr>
        <w:t>2</w:t>
      </w:r>
      <w:r>
        <w:rPr>
          <w:rFonts w:ascii="仿宋" w:hAnsi="仿宋" w:eastAsia="仿宋"/>
          <w:sz w:val="28"/>
          <w:szCs w:val="28"/>
          <w:highlight w:val="none"/>
        </w:rPr>
        <w:t>/CO</w:t>
      </w:r>
      <w:r>
        <w:rPr>
          <w:rFonts w:ascii="仿宋" w:hAnsi="仿宋" w:eastAsia="仿宋"/>
          <w:sz w:val="28"/>
          <w:szCs w:val="28"/>
          <w:highlight w:val="none"/>
          <w:vertAlign w:val="subscript"/>
        </w:rPr>
        <w:t>2</w:t>
      </w:r>
      <w:r>
        <w:rPr>
          <w:rFonts w:ascii="仿宋" w:hAnsi="仿宋" w:eastAsia="仿宋"/>
          <w:sz w:val="28"/>
          <w:szCs w:val="28"/>
          <w:highlight w:val="none"/>
        </w:rPr>
        <w:t>响应型气窜封堵剂体系。耐温130℃、耐盐22万mg/L，抗钙1万mg/L，地层温度下粘度＞5mPa·s。</w:t>
      </w:r>
      <w:r>
        <w:rPr>
          <w:rFonts w:hint="eastAsia" w:ascii="仿宋" w:hAnsi="仿宋" w:eastAsia="仿宋"/>
          <w:sz w:val="28"/>
          <w:szCs w:val="28"/>
          <w:highlight w:val="none"/>
        </w:rPr>
        <w:t>③</w:t>
      </w:r>
      <w:r>
        <w:rPr>
          <w:rFonts w:ascii="仿宋" w:hAnsi="仿宋" w:eastAsia="仿宋"/>
          <w:sz w:val="28"/>
          <w:szCs w:val="28"/>
          <w:highlight w:val="none"/>
        </w:rPr>
        <w:t>联合撰写中文核心或SCI论文1篇</w:t>
      </w:r>
      <w:r>
        <w:rPr>
          <w:rFonts w:hint="eastAsia" w:ascii="仿宋" w:hAnsi="仿宋" w:eastAsia="仿宋"/>
          <w:sz w:val="28"/>
          <w:szCs w:val="28"/>
          <w:highlight w:val="none"/>
          <w:lang w:eastAsia="zh-CN"/>
        </w:rPr>
        <w:t>。</w:t>
      </w:r>
    </w:p>
    <w:p w14:paraId="613A0573">
      <w:pPr>
        <w:numPr>
          <w:numId w:val="0"/>
        </w:numPr>
        <w:rPr>
          <w:rFonts w:ascii="仿宋" w:hAnsi="仿宋" w:eastAsia="仿宋"/>
          <w:b/>
          <w:sz w:val="32"/>
          <w:szCs w:val="32"/>
          <w:highlight w:val="none"/>
        </w:rPr>
      </w:pPr>
      <w:r>
        <w:rPr>
          <w:rFonts w:hint="eastAsia" w:ascii="仿宋" w:hAnsi="仿宋" w:eastAsia="仿宋"/>
          <w:b/>
          <w:sz w:val="32"/>
          <w:szCs w:val="32"/>
          <w:highlight w:val="none"/>
          <w:lang w:val="en-US" w:eastAsia="zh-CN"/>
        </w:rPr>
        <w:t>三、</w:t>
      </w:r>
      <w:r>
        <w:rPr>
          <w:rFonts w:hint="eastAsia" w:ascii="仿宋" w:hAnsi="仿宋" w:eastAsia="仿宋"/>
          <w:b/>
          <w:sz w:val="32"/>
          <w:szCs w:val="32"/>
          <w:highlight w:val="none"/>
        </w:rPr>
        <w:t>自拟科学研究项目</w:t>
      </w:r>
    </w:p>
    <w:p w14:paraId="09EFE63F">
      <w:pPr>
        <w:rPr>
          <w:rFonts w:ascii="仿宋" w:hAnsi="仿宋" w:eastAsia="仿宋"/>
          <w:b/>
          <w:sz w:val="32"/>
          <w:szCs w:val="32"/>
        </w:rPr>
      </w:pPr>
      <w:r>
        <w:rPr>
          <w:rFonts w:hint="eastAsia" w:ascii="仿宋" w:hAnsi="仿宋" w:eastAsia="仿宋"/>
          <w:b/>
          <w:sz w:val="32"/>
          <w:szCs w:val="32"/>
          <w:highlight w:val="none"/>
        </w:rPr>
        <w:t xml:space="preserve">    </w:t>
      </w:r>
      <w:r>
        <w:rPr>
          <w:rFonts w:hint="eastAsia" w:ascii="仿宋" w:hAnsi="仿宋" w:eastAsia="仿宋"/>
          <w:sz w:val="28"/>
          <w:szCs w:val="28"/>
          <w:highlight w:val="none"/>
        </w:rPr>
        <w:t>申请人员依据个人或团队对缝洞型油</w:t>
      </w:r>
      <w:r>
        <w:rPr>
          <w:rFonts w:hint="eastAsia" w:ascii="仿宋" w:hAnsi="仿宋" w:eastAsia="仿宋"/>
          <w:sz w:val="28"/>
          <w:szCs w:val="28"/>
        </w:rPr>
        <w:t>（气）藏目前实际科研进展，针对性提出建议资助研究的其他科研课题。</w:t>
      </w:r>
    </w:p>
    <w:p w14:paraId="3AB6548D">
      <w:pPr>
        <w:ind w:firstLine="640" w:firstLineChars="200"/>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新宋体">
    <w:panose1 w:val="02010609030101010101"/>
    <w:charset w:val="86"/>
    <w:family w:val="auto"/>
    <w:pitch w:val="default"/>
    <w:sig w:usb0="00000203" w:usb1="288F0000" w:usb2="00000006" w:usb3="00000000" w:csb0="00040001" w:csb1="00000000"/>
  </w:font>
  <w:font w:name="微软雅黑 Light">
    <w:panose1 w:val="020B0502040204020203"/>
    <w:charset w:val="86"/>
    <w:family w:val="auto"/>
    <w:pitch w:val="default"/>
    <w:sig w:usb0="80000287" w:usb1="2ACF0010" w:usb2="00000016" w:usb3="00000000" w:csb0="0004001F" w:csb1="00000000"/>
  </w:font>
  <w:font w:name="方正书宋_GBK">
    <w:panose1 w:val="02000000000000000000"/>
    <w:charset w:val="86"/>
    <w:family w:val="auto"/>
    <w:pitch w:val="default"/>
    <w:sig w:usb0="A00002BF" w:usb1="38CF7CFA" w:usb2="00082016" w:usb3="00000000" w:csb0="00040001" w:csb1="00000000"/>
  </w:font>
  <w:font w:name="方正魏碑_GBK">
    <w:panose1 w:val="02000000000000000000"/>
    <w:charset w:val="86"/>
    <w:family w:val="auto"/>
    <w:pitch w:val="default"/>
    <w:sig w:usb0="A00002BF" w:usb1="38CF7CFA" w:usb2="00082016" w:usb3="00000000" w:csb0="00040001" w:csb1="00000000"/>
  </w:font>
  <w:font w:name="隶书">
    <w:panose1 w:val="0201050906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gyNTI4MmM4Y2U5ZDI0NWZkZTU0NTA5ZmZjYWVmZjMifQ=="/>
  </w:docVars>
  <w:rsids>
    <w:rsidRoot w:val="00190E7C"/>
    <w:rsid w:val="00052F64"/>
    <w:rsid w:val="00096D91"/>
    <w:rsid w:val="000D4920"/>
    <w:rsid w:val="000D7A41"/>
    <w:rsid w:val="001130B8"/>
    <w:rsid w:val="00144B47"/>
    <w:rsid w:val="00190E7C"/>
    <w:rsid w:val="00196229"/>
    <w:rsid w:val="00262B8A"/>
    <w:rsid w:val="00280B85"/>
    <w:rsid w:val="00307347"/>
    <w:rsid w:val="00375665"/>
    <w:rsid w:val="0039256D"/>
    <w:rsid w:val="00406EBA"/>
    <w:rsid w:val="0043307F"/>
    <w:rsid w:val="004673ED"/>
    <w:rsid w:val="00482849"/>
    <w:rsid w:val="004A05FF"/>
    <w:rsid w:val="004A4809"/>
    <w:rsid w:val="004F2877"/>
    <w:rsid w:val="00523660"/>
    <w:rsid w:val="00594583"/>
    <w:rsid w:val="005A0E50"/>
    <w:rsid w:val="005B0F48"/>
    <w:rsid w:val="006029A3"/>
    <w:rsid w:val="0062077C"/>
    <w:rsid w:val="006261E9"/>
    <w:rsid w:val="006265F8"/>
    <w:rsid w:val="006D5D48"/>
    <w:rsid w:val="00793B28"/>
    <w:rsid w:val="007D1FD0"/>
    <w:rsid w:val="007E1BC4"/>
    <w:rsid w:val="00806A31"/>
    <w:rsid w:val="00857BE1"/>
    <w:rsid w:val="00871270"/>
    <w:rsid w:val="00881D16"/>
    <w:rsid w:val="00883102"/>
    <w:rsid w:val="008B00BC"/>
    <w:rsid w:val="008B35AE"/>
    <w:rsid w:val="008C293E"/>
    <w:rsid w:val="008D7B09"/>
    <w:rsid w:val="008E5EB0"/>
    <w:rsid w:val="008F1B15"/>
    <w:rsid w:val="00906D65"/>
    <w:rsid w:val="009479D5"/>
    <w:rsid w:val="009527A2"/>
    <w:rsid w:val="009C7856"/>
    <w:rsid w:val="00A15903"/>
    <w:rsid w:val="00A5308A"/>
    <w:rsid w:val="00B45E2F"/>
    <w:rsid w:val="00B80DFD"/>
    <w:rsid w:val="00B9000E"/>
    <w:rsid w:val="00BF344D"/>
    <w:rsid w:val="00C06B61"/>
    <w:rsid w:val="00C12D6C"/>
    <w:rsid w:val="00C13BBD"/>
    <w:rsid w:val="00C361DF"/>
    <w:rsid w:val="00C468E1"/>
    <w:rsid w:val="00E9045C"/>
    <w:rsid w:val="00EA5553"/>
    <w:rsid w:val="00EE075C"/>
    <w:rsid w:val="00EF000C"/>
    <w:rsid w:val="00F024A1"/>
    <w:rsid w:val="00F5014A"/>
    <w:rsid w:val="00F5730B"/>
    <w:rsid w:val="07BC176A"/>
    <w:rsid w:val="0DE40888"/>
    <w:rsid w:val="0E415563"/>
    <w:rsid w:val="171F4E77"/>
    <w:rsid w:val="1DD66365"/>
    <w:rsid w:val="23C95D5E"/>
    <w:rsid w:val="28425D08"/>
    <w:rsid w:val="28654E18"/>
    <w:rsid w:val="32DE3360"/>
    <w:rsid w:val="371F51BA"/>
    <w:rsid w:val="3CCD2FF3"/>
    <w:rsid w:val="44BF689E"/>
    <w:rsid w:val="465F5FAB"/>
    <w:rsid w:val="5B7778AB"/>
    <w:rsid w:val="5DFB4DE8"/>
    <w:rsid w:val="69CA2ED9"/>
    <w:rsid w:val="6EDC3D8E"/>
    <w:rsid w:val="6FD71C4D"/>
    <w:rsid w:val="715F32E0"/>
    <w:rsid w:val="7BDE5F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bCs/>
    </w:rPr>
  </w:style>
  <w:style w:type="character" w:styleId="7">
    <w:name w:val="Hyperlink"/>
    <w:basedOn w:val="5"/>
    <w:unhideWhenUsed/>
    <w:uiPriority w:val="99"/>
    <w:rPr>
      <w:color w:val="0563C1" w:themeColor="hyperlink"/>
      <w:u w:val="single"/>
      <w14:textFill>
        <w14:solidFill>
          <w14:schemeClr w14:val="hlink"/>
        </w14:solidFill>
      </w14:textFill>
    </w:rPr>
  </w:style>
  <w:style w:type="character" w:customStyle="1" w:styleId="8">
    <w:name w:val="页眉 字符"/>
    <w:basedOn w:val="5"/>
    <w:link w:val="3"/>
    <w:uiPriority w:val="99"/>
    <w:rPr>
      <w:sz w:val="18"/>
      <w:szCs w:val="18"/>
    </w:rPr>
  </w:style>
  <w:style w:type="character" w:customStyle="1" w:styleId="9">
    <w:name w:val="页脚 字符"/>
    <w:basedOn w:val="5"/>
    <w:link w:val="2"/>
    <w:uiPriority w:val="99"/>
    <w:rPr>
      <w:sz w:val="18"/>
      <w:szCs w:val="18"/>
    </w:rPr>
  </w:style>
  <w:style w:type="character" w:customStyle="1" w:styleId="10">
    <w:name w:val="Unresolved Mention"/>
    <w:basedOn w:val="5"/>
    <w:semiHidden/>
    <w:unhideWhenUsed/>
    <w:uiPriority w:val="99"/>
    <w:rPr>
      <w:color w:val="605E5C"/>
      <w:shd w:val="clear" w:color="auto" w:fill="E1DFDD"/>
    </w:rPr>
  </w:style>
  <w:style w:type="character" w:customStyle="1" w:styleId="11">
    <w:name w:val="wx_search_keyword_wrap"/>
    <w:basedOn w:val="5"/>
    <w:qFormat/>
    <w:uiPriority w:val="0"/>
  </w:style>
</w:styles>
</file>

<file path=word/_rels/document.xml.rels><?xml version="1.0" encoding="UTF-8" standalone="yes"?>
<Relationships xmlns="http://schemas.openxmlformats.org/package/2006/relationships"><Relationship Id="rId8" Type="http://schemas.openxmlformats.org/officeDocument/2006/relationships/customXml" Target="../customXml/item4.xml"/><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F6E0E49803531542BB558A4662777657" ma:contentTypeVersion="1" ma:contentTypeDescription="新建文档。" ma:contentTypeScope="" ma:versionID="b3872e491437b4f6fa862ee73db041f2">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F685CA2-5EE6-4B04-ADF7-08021F8192C5}"/>
</file>

<file path=customXml/itemProps2.xml><?xml version="1.0" encoding="utf-8"?>
<ds:datastoreItem xmlns:ds="http://schemas.openxmlformats.org/officeDocument/2006/customXml" ds:itemID="{BA78BCB3-4FC0-4801-861A-B259F996CFCB}"/>
</file>

<file path=customXml/itemProps3.xml><?xml version="1.0" encoding="utf-8"?>
<ds:datastoreItem xmlns:ds="http://schemas.openxmlformats.org/officeDocument/2006/customXml" ds:itemID="{214AA2A4-E716-4F5D-98CA-A073CE63F16C}"/>
</file>

<file path=customXml/itemProps4.xml><?xml version="1.0" encoding="utf-8"?>
<ds:datastoreItem xmlns:ds="http://schemas.openxmlformats.org/officeDocument/2006/customXml" ds:itemID="{7718C391-7CAD-4E7A-A9D6-785A8E992871}"/>
</file>

<file path=docProps/app.xml><?xml version="1.0" encoding="utf-8"?>
<Properties xmlns="http://schemas.openxmlformats.org/officeDocument/2006/extended-properties" xmlns:vt="http://schemas.openxmlformats.org/officeDocument/2006/docPropsVTypes">
  <Template>Normal</Template>
  <Company>Sinopec</Company>
  <Pages>7</Pages>
  <Words>4810</Words>
  <Characters>5036</Characters>
  <Lines>41</Lines>
  <Paragraphs>11</Paragraphs>
  <TotalTime>6</TotalTime>
  <ScaleCrop>false</ScaleCrop>
  <LinksUpToDate>false</LinksUpToDate>
  <CharactersWithSpaces>5083</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胡广强</cp:lastModifiedBy>
  <cp:revision>2</cp:revision>
  <dcterms:created xsi:type="dcterms:W3CDTF">2024-07-22T11:05:00Z</dcterms:created>
  <dcterms:modified xsi:type="dcterms:W3CDTF">2024-09-20T04:23:53Z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AAF5E107FF7D41128ACB516B3A2BA5B8_13</vt:lpwstr>
  </property>
  <property fmtid="{D5CDD505-2E9C-101B-9397-08002B2CF9AE}" pid="4" name="ContentTypeId">
    <vt:lpwstr>0x010100F6E0E49803531542BB558A4662777657</vt:lpwstr>
  </property>
</Properties>
</file>